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-157480</wp:posOffset>
            </wp:positionV>
            <wp:extent cx="71577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83" w:lineRule="exact"/>
        <w:rPr>
          <w:sz w:val="24"/>
          <w:szCs w:val="24"/>
          <w:color w:val="auto"/>
        </w:rPr>
      </w:pPr>
    </w:p>
    <w:p>
      <w:pPr>
        <w:ind w:left="440" w:hanging="30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 the quarterly period ended September 30, 2026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74" w:lineRule="exact"/>
        <w:rPr>
          <w:sz w:val="24"/>
          <w:szCs w:val="24"/>
          <w:color w:val="auto"/>
        </w:rPr>
      </w:pPr>
    </w:p>
    <w:p>
      <w:pPr>
        <w:ind w:left="400" w:hanging="281"/>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45" w:lineRule="exact"/>
        <w:rPr>
          <w:rFonts w:ascii="MS PGothic" w:cs="MS PGothic" w:eastAsia="MS PGothic" w:hAnsi="MS PGothic"/>
          <w:sz w:val="18"/>
          <w:szCs w:val="18"/>
          <w:color w:val="auto"/>
        </w:rPr>
      </w:pPr>
    </w:p>
    <w:p>
      <w:pPr>
        <w:ind w:left="38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the transition period from _______ to _______</w:t>
      </w:r>
    </w:p>
    <w:p>
      <w:pPr>
        <w:spacing w:after="0" w:line="117"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814-00813</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OFS CAPITAL CORPORATION</w:t>
      </w:r>
    </w:p>
    <w:p>
      <w:pPr>
        <w:spacing w:after="0" w:line="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6760" w:type="dxa"/>
            <w:vAlign w:val="bottom"/>
            <w:gridSpan w:val="2"/>
          </w:tcPr>
          <w:p>
            <w:pPr>
              <w:jc w:val="right"/>
              <w:ind w:right="1719"/>
              <w:spacing w:after="0"/>
              <w:rPr>
                <w:sz w:val="20"/>
                <w:szCs w:val="20"/>
                <w:color w:val="auto"/>
              </w:rPr>
            </w:pPr>
            <w:r>
              <w:rPr>
                <w:rFonts w:ascii="Times New Roman" w:cs="Times New Roman" w:eastAsia="Times New Roman" w:hAnsi="Times New Roman"/>
                <w:sz w:val="18"/>
                <w:szCs w:val="18"/>
                <w:color w:val="auto"/>
              </w:rPr>
              <w:t>46-1339639</w:t>
            </w:r>
          </w:p>
        </w:tc>
      </w:tr>
      <w:tr>
        <w:trPr>
          <w:trHeight w:val="217"/>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280" w:type="dxa"/>
            <w:vAlign w:val="bottom"/>
          </w:tcPr>
          <w:p>
            <w:pPr>
              <w:spacing w:after="0"/>
              <w:rPr>
                <w:sz w:val="18"/>
                <w:szCs w:val="18"/>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29"/>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228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411"/>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 W. Adams Street, Suite 1850, Chicago, Illinois</w:t>
            </w:r>
          </w:p>
        </w:tc>
        <w:tc>
          <w:tcPr>
            <w:tcW w:w="6760" w:type="dxa"/>
            <w:vAlign w:val="bottom"/>
            <w:gridSpan w:val="2"/>
          </w:tcPr>
          <w:p>
            <w:pPr>
              <w:jc w:val="right"/>
              <w:ind w:right="1939"/>
              <w:spacing w:after="0"/>
              <w:rPr>
                <w:sz w:val="20"/>
                <w:szCs w:val="20"/>
                <w:color w:val="auto"/>
              </w:rPr>
            </w:pPr>
            <w:r>
              <w:rPr>
                <w:rFonts w:ascii="Times New Roman" w:cs="Times New Roman" w:eastAsia="Times New Roman" w:hAnsi="Times New Roman"/>
                <w:sz w:val="18"/>
                <w:szCs w:val="18"/>
                <w:color w:val="auto"/>
              </w:rPr>
              <w:t>60606</w:t>
            </w:r>
          </w:p>
        </w:tc>
      </w:tr>
      <w:tr>
        <w:trPr>
          <w:trHeight w:val="217"/>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280" w:type="dxa"/>
            <w:vAlign w:val="bottom"/>
          </w:tcPr>
          <w:p>
            <w:pPr>
              <w:spacing w:after="0"/>
              <w:rPr>
                <w:sz w:val="18"/>
                <w:szCs w:val="18"/>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Zip Code</w:t>
            </w:r>
          </w:p>
        </w:tc>
      </w:tr>
      <w:tr>
        <w:trPr>
          <w:trHeight w:val="249"/>
        </w:trPr>
        <w:tc>
          <w:tcPr>
            <w:tcW w:w="4500" w:type="dxa"/>
            <w:vAlign w:val="bottom"/>
          </w:tcPr>
          <w:p>
            <w:pPr>
              <w:spacing w:after="0"/>
              <w:rPr>
                <w:sz w:val="21"/>
                <w:szCs w:val="21"/>
                <w:color w:val="auto"/>
              </w:rPr>
            </w:pPr>
          </w:p>
        </w:tc>
        <w:tc>
          <w:tcPr>
            <w:tcW w:w="2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(847) 734-2000</w:t>
            </w:r>
          </w:p>
        </w:tc>
        <w:tc>
          <w:tcPr>
            <w:tcW w:w="4480" w:type="dxa"/>
            <w:vAlign w:val="bottom"/>
          </w:tcPr>
          <w:p>
            <w:pPr>
              <w:spacing w:after="0"/>
              <w:rPr>
                <w:sz w:val="21"/>
                <w:szCs w:val="21"/>
                <w:color w:val="auto"/>
              </w:rPr>
            </w:pPr>
          </w:p>
        </w:tc>
      </w:tr>
    </w:tbl>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63"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577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16"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43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OFS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270"/>
        </w:trPr>
        <w:tc>
          <w:tcPr>
            <w:tcW w:w="43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4.95% Notes due 2028</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OFSSH</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256"/>
        </w:trPr>
        <w:tc>
          <w:tcPr>
            <w:tcW w:w="43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7.50% Notes due 2028</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OFSSO</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03" w:lineRule="exact"/>
        <w:rPr>
          <w:sz w:val="24"/>
          <w:szCs w:val="24"/>
          <w:color w:val="auto"/>
        </w:rPr>
      </w:pPr>
    </w:p>
    <w:p>
      <w:pPr>
        <w:ind w:right="100" w:firstLine="517"/>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80" w:firstLine="517"/>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firstLine="51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1160" w:type="dxa"/>
        <w:tblCellMar>
          <w:top w:w="0" w:type="dxa"/>
          <w:left w:w="0" w:type="dxa"/>
          <w:bottom w:w="0" w:type="dxa"/>
          <w:right w:w="0" w:type="dxa"/>
        </w:tblCellMar>
      </w:tblP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2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2" w:lineRule="exact"/>
        <w:rPr>
          <w:sz w:val="24"/>
          <w:szCs w:val="24"/>
          <w:color w:val="auto"/>
        </w:rPr>
      </w:pPr>
    </w:p>
    <w:p>
      <w:pPr>
        <w:ind w:right="280" w:firstLine="56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70" w:lineRule="exact"/>
        <w:rPr>
          <w:sz w:val="24"/>
          <w:szCs w:val="24"/>
          <w:color w:val="auto"/>
        </w:rPr>
      </w:pPr>
    </w:p>
    <w:p>
      <w:pPr>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issuer’s Common Stock, $0.01 par value, outstanding as of October 27, 2026 was 13,398,078.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638810</wp:posOffset>
            </wp:positionV>
            <wp:extent cx="71831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163195</wp:posOffset>
            </wp:positionV>
            <wp:extent cx="71577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0"/>
          </w:cols>
          <w:pgMar w:left="340" w:top="886" w:right="318"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OFS CAPITAL CORPORATION</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7157720"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188595"/>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PART I. FINANCIAL INFORMATION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Financial Statements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54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Consolidated Statements of Assets and Liabilities as of September 30, 2026 (unaudited) and December 31, 2025</w:t>
            </w:r>
          </w:p>
        </w:tc>
        <w:tc>
          <w:tcPr>
            <w:tcW w:w="440" w:type="dxa"/>
            <w:vAlign w:val="bottom"/>
            <w:gridSpan w:val="2"/>
            <w:vMerge w:val="restart"/>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100" w:type="dxa"/>
            <w:vAlign w:val="bottom"/>
            <w:tcBorders>
              <w:top w:val="single" w:sz="8" w:color="0000FF"/>
              <w:bottom w:val="single" w:sz="8" w:color="CCEEFF"/>
            </w:tcBorders>
            <w:shd w:val="clear" w:color="auto" w:fill="CCEEFF"/>
          </w:tcPr>
          <w:p>
            <w:pPr>
              <w:spacing w:after="0"/>
              <w:rPr>
                <w:sz w:val="12"/>
                <w:szCs w:val="12"/>
                <w:color w:val="auto"/>
              </w:rPr>
            </w:pPr>
          </w:p>
        </w:tc>
        <w:tc>
          <w:tcPr>
            <w:tcW w:w="440" w:type="dxa"/>
            <w:vAlign w:val="bottom"/>
            <w:tcBorders>
              <w:top w:val="single" w:sz="8" w:color="0000FF"/>
              <w:bottom w:val="single" w:sz="8" w:color="CCEEFF"/>
            </w:tcBorders>
            <w:shd w:val="clear" w:color="auto" w:fill="CCEEFF"/>
          </w:tcPr>
          <w:p>
            <w:pPr>
              <w:spacing w:after="0"/>
              <w:rPr>
                <w:sz w:val="12"/>
                <w:szCs w:val="12"/>
                <w:color w:val="auto"/>
              </w:rPr>
            </w:pPr>
          </w:p>
        </w:tc>
        <w:tc>
          <w:tcPr>
            <w:tcW w:w="320" w:type="dxa"/>
            <w:vAlign w:val="bottom"/>
            <w:tcBorders>
              <w:top w:val="single" w:sz="8" w:color="0000FF"/>
              <w:bottom w:val="single" w:sz="8" w:color="CCEEFF"/>
            </w:tcBorders>
            <w:shd w:val="clear" w:color="auto" w:fill="CCEEFF"/>
          </w:tcPr>
          <w:p>
            <w:pPr>
              <w:spacing w:after="0"/>
              <w:rPr>
                <w:sz w:val="12"/>
                <w:szCs w:val="12"/>
                <w:color w:val="auto"/>
              </w:rPr>
            </w:pPr>
          </w:p>
        </w:tc>
        <w:tc>
          <w:tcPr>
            <w:tcW w:w="40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0000FF"/>
              <w:bottom w:val="single" w:sz="8" w:color="CCEEFF"/>
            </w:tcBorders>
            <w:shd w:val="clear" w:color="auto" w:fill="CCEEFF"/>
          </w:tcPr>
          <w:p>
            <w:pPr>
              <w:spacing w:after="0"/>
              <w:rPr>
                <w:sz w:val="12"/>
                <w:szCs w:val="12"/>
                <w:color w:val="auto"/>
              </w:rPr>
            </w:pPr>
          </w:p>
        </w:tc>
        <w:tc>
          <w:tcPr>
            <w:tcW w:w="120" w:type="dxa"/>
            <w:vAlign w:val="bottom"/>
            <w:tcBorders>
              <w:top w:val="single" w:sz="8" w:color="0000FF"/>
              <w:bottom w:val="single" w:sz="8" w:color="CCEEFF"/>
            </w:tcBorders>
            <w:shd w:val="clear" w:color="auto" w:fill="CCEEFF"/>
          </w:tcPr>
          <w:p>
            <w:pPr>
              <w:spacing w:after="0"/>
              <w:rPr>
                <w:sz w:val="12"/>
                <w:szCs w:val="12"/>
                <w:color w:val="auto"/>
              </w:rPr>
            </w:pPr>
          </w:p>
        </w:tc>
        <w:tc>
          <w:tcPr>
            <w:tcW w:w="260" w:type="dxa"/>
            <w:vAlign w:val="bottom"/>
            <w:tcBorders>
              <w:top w:val="single" w:sz="8" w:color="0000FF"/>
              <w:bottom w:val="single" w:sz="8" w:color="CCEEFF"/>
            </w:tcBorders>
            <w:shd w:val="clear" w:color="auto" w:fill="CCEEFF"/>
          </w:tcPr>
          <w:p>
            <w:pPr>
              <w:spacing w:after="0"/>
              <w:rPr>
                <w:sz w:val="12"/>
                <w:szCs w:val="12"/>
                <w:color w:val="auto"/>
              </w:rPr>
            </w:pPr>
          </w:p>
        </w:tc>
        <w:tc>
          <w:tcPr>
            <w:tcW w:w="540" w:type="dxa"/>
            <w:vAlign w:val="bottom"/>
            <w:tcBorders>
              <w:top w:val="single" w:sz="8" w:color="0000FF"/>
              <w:bottom w:val="single" w:sz="8" w:color="CCEEFF"/>
            </w:tcBorders>
            <w:shd w:val="clear" w:color="auto" w:fill="CCEEFF"/>
          </w:tcPr>
          <w:p>
            <w:pPr>
              <w:spacing w:after="0"/>
              <w:rPr>
                <w:sz w:val="12"/>
                <w:szCs w:val="12"/>
                <w:color w:val="auto"/>
              </w:rPr>
            </w:pPr>
          </w:p>
        </w:tc>
        <w:tc>
          <w:tcPr>
            <w:tcW w:w="180" w:type="dxa"/>
            <w:vAlign w:val="bottom"/>
            <w:tcBorders>
              <w:top w:val="single" w:sz="8" w:color="0000FF"/>
              <w:bottom w:val="single" w:sz="8" w:color="CCEEFF"/>
            </w:tcBorders>
            <w:shd w:val="clear" w:color="auto" w:fill="CCEEFF"/>
          </w:tcPr>
          <w:p>
            <w:pPr>
              <w:spacing w:after="0"/>
              <w:rPr>
                <w:sz w:val="12"/>
                <w:szCs w:val="12"/>
                <w:color w:val="auto"/>
              </w:rPr>
            </w:pPr>
          </w:p>
        </w:tc>
        <w:tc>
          <w:tcPr>
            <w:tcW w:w="1520" w:type="dxa"/>
            <w:vAlign w:val="bottom"/>
            <w:tcBorders>
              <w:top w:val="single" w:sz="8" w:color="0000FF"/>
              <w:bottom w:val="single" w:sz="8" w:color="CCEEFF"/>
            </w:tcBorders>
            <w:shd w:val="clear" w:color="auto" w:fill="CCEEFF"/>
          </w:tcPr>
          <w:p>
            <w:pPr>
              <w:spacing w:after="0"/>
              <w:rPr>
                <w:sz w:val="12"/>
                <w:szCs w:val="12"/>
                <w:color w:val="auto"/>
              </w:rPr>
            </w:pPr>
          </w:p>
        </w:tc>
        <w:tc>
          <w:tcPr>
            <w:tcW w:w="340" w:type="dxa"/>
            <w:vAlign w:val="bottom"/>
            <w:tcBorders>
              <w:top w:val="single" w:sz="8" w:color="0000FF"/>
              <w:bottom w:val="single" w:sz="8" w:color="CCEEFF"/>
            </w:tcBorders>
            <w:shd w:val="clear" w:color="auto" w:fill="CCEEFF"/>
          </w:tcPr>
          <w:p>
            <w:pPr>
              <w:spacing w:after="0"/>
              <w:rPr>
                <w:sz w:val="12"/>
                <w:szCs w:val="12"/>
                <w:color w:val="auto"/>
              </w:rPr>
            </w:pPr>
          </w:p>
        </w:tc>
        <w:tc>
          <w:tcPr>
            <w:tcW w:w="2120" w:type="dxa"/>
            <w:vAlign w:val="bottom"/>
            <w:tcBorders>
              <w:top w:val="single" w:sz="8" w:color="0000FF"/>
              <w:bottom w:val="single" w:sz="8" w:color="CCEEFF"/>
            </w:tcBorders>
            <w:shd w:val="clear" w:color="auto" w:fill="CCEEFF"/>
          </w:tcPr>
          <w:p>
            <w:pPr>
              <w:spacing w:after="0"/>
              <w:rPr>
                <w:sz w:val="12"/>
                <w:szCs w:val="12"/>
                <w:color w:val="auto"/>
              </w:rPr>
            </w:pPr>
          </w:p>
        </w:tc>
        <w:tc>
          <w:tcPr>
            <w:tcW w:w="880" w:type="dxa"/>
            <w:vAlign w:val="bottom"/>
            <w:tcBorders>
              <w:top w:val="single" w:sz="8" w:color="0000FF"/>
              <w:bottom w:val="single" w:sz="8" w:color="CCEEFF"/>
            </w:tcBorders>
            <w:shd w:val="clear" w:color="auto" w:fill="CCEEFF"/>
          </w:tcPr>
          <w:p>
            <w:pPr>
              <w:spacing w:after="0"/>
              <w:rPr>
                <w:sz w:val="12"/>
                <w:szCs w:val="12"/>
                <w:color w:val="auto"/>
              </w:rPr>
            </w:pPr>
          </w:p>
        </w:tc>
        <w:tc>
          <w:tcPr>
            <w:tcW w:w="740" w:type="dxa"/>
            <w:vAlign w:val="bottom"/>
            <w:tcBorders>
              <w:top w:val="single" w:sz="8" w:color="0000FF"/>
              <w:bottom w:val="single" w:sz="8" w:color="CCEEFF"/>
            </w:tcBorders>
            <w:shd w:val="clear" w:color="auto" w:fill="CCEEFF"/>
          </w:tcPr>
          <w:p>
            <w:pPr>
              <w:spacing w:after="0"/>
              <w:rPr>
                <w:sz w:val="12"/>
                <w:szCs w:val="12"/>
                <w:color w:val="auto"/>
              </w:rPr>
            </w:pPr>
          </w:p>
        </w:tc>
        <w:tc>
          <w:tcPr>
            <w:tcW w:w="74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CCEEFF"/>
              <w:bottom w:val="single" w:sz="8" w:color="CCEEFF"/>
            </w:tcBorders>
            <w:gridSpan w:val="2"/>
            <w:vMerge w:val="continue"/>
            <w:shd w:val="clear" w:color="auto" w:fill="CCEEFF"/>
          </w:tcPr>
          <w:p>
            <w:pPr>
              <w:spacing w:after="0"/>
              <w:rPr>
                <w:sz w:val="12"/>
                <w:szCs w:val="12"/>
                <w:color w:val="auto"/>
              </w:rPr>
            </w:pPr>
          </w:p>
        </w:tc>
        <w:tc>
          <w:tcPr>
            <w:tcW w:w="100" w:type="dxa"/>
            <w:vAlign w:val="bottom"/>
            <w:tcBorders>
              <w:top w:val="single" w:sz="8" w:color="CCEEFF"/>
              <w:bottom w:val="single" w:sz="8" w:color="0000FF"/>
            </w:tcBorders>
            <w:vMerge w:val="continue"/>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Three and Nine Months Ended September 30, 2026 (unaudited) and 2025 (unaudited)</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1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9200" w:type="dxa"/>
            <w:vAlign w:val="bottom"/>
            <w:tcBorders>
              <w:bottom w:val="single" w:sz="8" w:color="0000FF"/>
            </w:tcBorders>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Consolidated Statements of Changes in Net Assets for the Three and Nine Months Ended September 30, 2026 (unaudited) and</w:t>
            </w:r>
          </w:p>
        </w:tc>
        <w:tc>
          <w:tcPr>
            <w:tcW w:w="3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0000FF"/>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8"/>
              </w:rPr>
              <w:t>2025 (unaudited)</w:t>
            </w:r>
          </w:p>
        </w:tc>
        <w:tc>
          <w:tcPr>
            <w:tcW w:w="8140" w:type="dxa"/>
            <w:vAlign w:val="bottom"/>
            <w:tcBorders>
              <w:bottom w:val="single" w:sz="8" w:color="CCEEFF"/>
            </w:tcBorders>
            <w:gridSpan w:val="12"/>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Nine Months Ended September 30, 2026 (unaudited) and 2025 (unaudited)</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1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360" w:type="dxa"/>
            <w:vAlign w:val="bottom"/>
            <w:tcBorders>
              <w:bottom w:val="single" w:sz="8" w:color="0000FF"/>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Consolidated Schedules of Investments as of September 30, 2026 (unaudited) and December 31, 2025</w:t>
            </w:r>
          </w:p>
        </w:tc>
        <w:tc>
          <w:tcPr>
            <w:tcW w:w="2180" w:type="dxa"/>
            <w:vAlign w:val="bottom"/>
            <w:tcBorders>
              <w:bottom w:val="single" w:sz="8" w:color="CCEEFF"/>
            </w:tcBorders>
            <w:gridSpan w:val="4"/>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4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60" w:type="dxa"/>
            <w:vAlign w:val="bottom"/>
            <w:gridSpan w:val="5"/>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212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64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60" w:type="dxa"/>
            <w:vAlign w:val="bottom"/>
            <w:gridSpan w:val="5"/>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 w:type="dxa"/>
            <w:vAlign w:val="bottom"/>
            <w:shd w:val="clear" w:color="auto" w:fill="CCEEFF"/>
          </w:tcPr>
          <w:p>
            <w:pPr>
              <w:spacing w:after="0"/>
              <w:rPr>
                <w:sz w:val="22"/>
                <w:szCs w:val="22"/>
                <w:color w:val="auto"/>
              </w:rPr>
            </w:pP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760" w:type="dxa"/>
            <w:vAlign w:val="bottom"/>
            <w:gridSpan w:val="10"/>
            <w:shd w:val="clear" w:color="auto" w:fill="CCEEFF"/>
          </w:tcPr>
          <w:p>
            <w:pPr>
              <w:spacing w:after="0"/>
              <w:rPr>
                <w:sz w:val="22"/>
                <w:szCs w:val="22"/>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5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12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6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PART II. OTHER INFORMATION</w:t>
            </w:r>
          </w:p>
        </w:tc>
        <w:tc>
          <w:tcPr>
            <w:tcW w:w="8020" w:type="dxa"/>
            <w:vAlign w:val="bottom"/>
            <w:gridSpan w:val="11"/>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020" w:type="dxa"/>
            <w:vAlign w:val="bottom"/>
            <w:gridSpan w:val="11"/>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8620" w:type="dxa"/>
            <w:vAlign w:val="bottom"/>
            <w:gridSpan w:val="15"/>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54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220" w:type="dxa"/>
            <w:vAlign w:val="bottom"/>
            <w:gridSpan w:val="9"/>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220" w:type="dxa"/>
            <w:vAlign w:val="bottom"/>
            <w:gridSpan w:val="14"/>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20" w:type="dxa"/>
            <w:vAlign w:val="bottom"/>
            <w:gridSpan w:val="14"/>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0680" w:type="dxa"/>
            <w:vAlign w:val="bottom"/>
            <w:gridSpan w:val="22"/>
            <w:shd w:val="clear" w:color="auto" w:fill="CCEEFF"/>
          </w:tcPr>
          <w:p>
            <w:pPr>
              <w:ind w:left="40"/>
              <w:spacing w:after="0"/>
              <w:rPr>
                <w:sz w:val="20"/>
                <w:szCs w:val="20"/>
                <w:color w:val="auto"/>
              </w:rPr>
            </w:pPr>
            <w:r>
              <w:rPr>
                <w:rFonts w:ascii="Times New Roman" w:cs="Times New Roman" w:eastAsia="Times New Roman" w:hAnsi="Times New Roman"/>
                <w:sz w:val="18"/>
                <w:szCs w:val="18"/>
                <w:color w:val="0000FF"/>
              </w:rPr>
              <w:t>SIGNATURES</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65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OFS®, OFS Capital®, OFS Credit® and HPCI® are registered trademarks of Orchard First Source Asset Management,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OFS Capital Management™ is a trademark of Orchard First Source Asset Management,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trademarks or trade names referred to in this Quarterly Report on Form 10-Q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121" w:lineRule="exact"/>
        <w:rPr>
          <w:sz w:val="20"/>
          <w:szCs w:val="20"/>
          <w:color w:val="auto"/>
        </w:rPr>
      </w:pPr>
    </w:p>
    <w:p>
      <w:pPr>
        <w:ind w:left="20" w:right="300"/>
        <w:spacing w:after="0" w:line="282" w:lineRule="auto"/>
        <w:rPr>
          <w:sz w:val="20"/>
          <w:szCs w:val="20"/>
          <w:color w:val="auto"/>
        </w:rPr>
      </w:pPr>
      <w:r>
        <w:rPr>
          <w:rFonts w:ascii="Times New Roman" w:cs="Times New Roman" w:eastAsia="Times New Roman" w:hAnsi="Times New Roman"/>
          <w:sz w:val="18"/>
          <w:szCs w:val="18"/>
          <w:color w:val="auto"/>
        </w:rPr>
        <w:t>We have used “we,” “us,” “our,” “our company” and “the Company” to refer to OFS Capital Corporation in this report. We also have used several other terms in this report, which are explained or defined below:</w:t>
      </w:r>
    </w:p>
    <w:p>
      <w:pPr>
        <w:spacing w:after="0" w:line="8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9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Explanation or Definition</w:t>
            </w:r>
          </w:p>
        </w:tc>
        <w:tc>
          <w:tcPr>
            <w:tcW w:w="0" w:type="dxa"/>
            <w:vAlign w:val="bottom"/>
          </w:tcPr>
          <w:p>
            <w:pPr>
              <w:spacing w:after="0"/>
              <w:rPr>
                <w:sz w:val="1"/>
                <w:szCs w:val="1"/>
                <w:color w:val="auto"/>
              </w:rPr>
            </w:pPr>
          </w:p>
        </w:tc>
      </w:tr>
      <w:tr>
        <w:trPr>
          <w:trHeight w:val="20"/>
        </w:trPr>
        <w:tc>
          <w:tcPr>
            <w:tcW w:w="2980" w:type="dxa"/>
            <w:vAlign w:val="bottom"/>
            <w:tcBorders>
              <w:left w:val="single" w:sz="8" w:color="C1E5F5"/>
              <w:right w:val="single" w:sz="8" w:color="auto"/>
            </w:tcBorders>
            <w:vMerge w:val="restart"/>
            <w:shd w:val="clear" w:color="auto" w:fill="C1E5F5"/>
          </w:tcPr>
          <w:p>
            <w:pPr>
              <w:ind w:left="20"/>
              <w:spacing w:after="0"/>
              <w:rPr>
                <w:sz w:val="20"/>
                <w:szCs w:val="20"/>
                <w:color w:val="auto"/>
              </w:rPr>
            </w:pPr>
            <w:r>
              <w:rPr>
                <w:rFonts w:ascii="Times New Roman" w:cs="Times New Roman" w:eastAsia="Times New Roman" w:hAnsi="Times New Roman"/>
                <w:sz w:val="18"/>
                <w:szCs w:val="18"/>
                <w:color w:val="auto"/>
              </w:rPr>
              <w:t>1940 Act</w:t>
            </w:r>
          </w:p>
        </w:tc>
        <w:tc>
          <w:tcPr>
            <w:tcW w:w="8320" w:type="dxa"/>
            <w:vAlign w:val="bottom"/>
            <w:tcBorders>
              <w:right w:val="single" w:sz="8" w:color="auto"/>
            </w:tcBorders>
            <w:vMerge w:val="restart"/>
            <w:shd w:val="clear" w:color="auto" w:fill="C1E5F5"/>
          </w:tcPr>
          <w:p>
            <w:pPr>
              <w:spacing w:after="0"/>
              <w:rPr>
                <w:sz w:val="20"/>
                <w:szCs w:val="20"/>
                <w:color w:val="auto"/>
              </w:rPr>
            </w:pPr>
            <w:r>
              <w:rPr>
                <w:rFonts w:ascii="Times New Roman" w:cs="Times New Roman" w:eastAsia="Times New Roman" w:hAnsi="Times New Roman"/>
                <w:sz w:val="18"/>
                <w:szCs w:val="18"/>
                <w:color w:val="auto"/>
              </w:rPr>
              <w:t>Investment Company Act of 1940, as amended</w:t>
            </w:r>
          </w:p>
        </w:tc>
        <w:tc>
          <w:tcPr>
            <w:tcW w:w="0" w:type="dxa"/>
            <w:vAlign w:val="bottom"/>
          </w:tcPr>
          <w:p>
            <w:pPr>
              <w:spacing w:after="0" w:line="20" w:lineRule="exact"/>
              <w:rPr>
                <w:sz w:val="1"/>
                <w:szCs w:val="1"/>
                <w:color w:val="auto"/>
              </w:rPr>
            </w:pPr>
          </w:p>
        </w:tc>
      </w:tr>
      <w:tr>
        <w:trPr>
          <w:trHeight w:val="211"/>
        </w:trPr>
        <w:tc>
          <w:tcPr>
            <w:tcW w:w="2980" w:type="dxa"/>
            <w:vAlign w:val="bottom"/>
            <w:tcBorders>
              <w:left w:val="single" w:sz="8" w:color="C1E5F5"/>
              <w:bottom w:val="single" w:sz="8" w:color="auto"/>
              <w:right w:val="single" w:sz="8" w:color="auto"/>
            </w:tcBorders>
            <w:vMerge w:val="continue"/>
            <w:shd w:val="clear" w:color="auto" w:fill="C1E5F5"/>
          </w:tcPr>
          <w:p>
            <w:pPr>
              <w:spacing w:after="0"/>
              <w:rPr>
                <w:sz w:val="17"/>
                <w:szCs w:val="17"/>
                <w:color w:val="auto"/>
              </w:rPr>
            </w:pPr>
          </w:p>
        </w:tc>
        <w:tc>
          <w:tcPr>
            <w:tcW w:w="8320" w:type="dxa"/>
            <w:vAlign w:val="bottom"/>
            <w:tcBorders>
              <w:bottom w:val="single" w:sz="8" w:color="auto"/>
              <w:right w:val="single" w:sz="8" w:color="auto"/>
            </w:tcBorders>
            <w:vMerge w:val="continue"/>
            <w:shd w:val="clear" w:color="auto" w:fill="C1E5F5"/>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Administration Agreement</w:t>
            </w: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Administration Agreement between the Company and OFS Services dated November 7, 2012</w:t>
            </w:r>
          </w:p>
        </w:tc>
        <w:tc>
          <w:tcPr>
            <w:tcW w:w="0" w:type="dxa"/>
            <w:vAlign w:val="bottom"/>
          </w:tcPr>
          <w:p>
            <w:pPr>
              <w:spacing w:after="0"/>
              <w:rPr>
                <w:sz w:val="1"/>
                <w:szCs w:val="1"/>
                <w:color w:val="auto"/>
              </w:rPr>
            </w:pPr>
          </w:p>
        </w:tc>
      </w:tr>
      <w:tr>
        <w:trPr>
          <w:trHeight w:val="223"/>
        </w:trPr>
        <w:tc>
          <w:tcPr>
            <w:tcW w:w="2980" w:type="dxa"/>
            <w:vAlign w:val="bottom"/>
            <w:tcBorders>
              <w:left w:val="single" w:sz="8" w:color="C1E5F5"/>
              <w:bottom w:val="single" w:sz="8" w:color="auto"/>
              <w:right w:val="single" w:sz="8" w:color="auto"/>
            </w:tcBorders>
            <w:shd w:val="clear" w:color="auto" w:fill="C1E5F5"/>
          </w:tcPr>
          <w:p>
            <w:pPr>
              <w:ind w:left="20"/>
              <w:spacing w:after="0"/>
              <w:rPr>
                <w:sz w:val="20"/>
                <w:szCs w:val="20"/>
                <w:color w:val="auto"/>
              </w:rPr>
            </w:pPr>
            <w:r>
              <w:rPr>
                <w:rFonts w:ascii="Times New Roman" w:cs="Times New Roman" w:eastAsia="Times New Roman" w:hAnsi="Times New Roman"/>
                <w:sz w:val="18"/>
                <w:szCs w:val="18"/>
                <w:color w:val="auto"/>
              </w:rPr>
              <w:t>Affiliated Account</w:t>
            </w: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An account, other than the Company, managed by OFS Advisor or an affiliate of OFS Advisor</w:t>
            </w:r>
          </w:p>
        </w:tc>
        <w:tc>
          <w:tcPr>
            <w:tcW w:w="0" w:type="dxa"/>
            <w:vAlign w:val="bottom"/>
          </w:tcPr>
          <w:p>
            <w:pPr>
              <w:spacing w:after="0"/>
              <w:rPr>
                <w:sz w:val="1"/>
                <w:szCs w:val="1"/>
                <w:color w:val="auto"/>
              </w:rPr>
            </w:pPr>
          </w:p>
        </w:tc>
      </w:tr>
      <w:tr>
        <w:trPr>
          <w:trHeight w:val="205"/>
        </w:trPr>
        <w:tc>
          <w:tcPr>
            <w:tcW w:w="298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Affiliated Fund</w:t>
            </w:r>
          </w:p>
        </w:tc>
        <w:tc>
          <w:tcPr>
            <w:tcW w:w="8320" w:type="dxa"/>
            <w:vAlign w:val="bottom"/>
            <w:tcBorders>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Certain other funds, including other BDCs and registered investment companies managed by OFS Advisor or by</w:t>
            </w:r>
          </w:p>
        </w:tc>
        <w:tc>
          <w:tcPr>
            <w:tcW w:w="0" w:type="dxa"/>
            <w:vAlign w:val="bottom"/>
          </w:tcPr>
          <w:p>
            <w:pPr>
              <w:spacing w:after="0"/>
              <w:rPr>
                <w:sz w:val="1"/>
                <w:szCs w:val="1"/>
                <w:color w:val="auto"/>
              </w:rPr>
            </w:pPr>
          </w:p>
        </w:tc>
      </w:tr>
      <w:tr>
        <w:trPr>
          <w:trHeight w:val="234"/>
        </w:trPr>
        <w:tc>
          <w:tcPr>
            <w:tcW w:w="2980" w:type="dxa"/>
            <w:vAlign w:val="bottom"/>
            <w:tcBorders>
              <w:bottom w:val="single" w:sz="8" w:color="auto"/>
              <w:right w:val="single" w:sz="8" w:color="auto"/>
            </w:tcBorders>
          </w:tcPr>
          <w:p>
            <w:pPr>
              <w:spacing w:after="0"/>
              <w:rPr>
                <w:sz w:val="20"/>
                <w:szCs w:val="20"/>
                <w:color w:val="auto"/>
              </w:rPr>
            </w:pP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registered investment advisers controlling, controlled by, or under common control with, OFS Advisor</w:t>
            </w:r>
          </w:p>
        </w:tc>
        <w:tc>
          <w:tcPr>
            <w:tcW w:w="0" w:type="dxa"/>
            <w:vAlign w:val="bottom"/>
          </w:tcPr>
          <w:p>
            <w:pPr>
              <w:spacing w:after="0"/>
              <w:rPr>
                <w:sz w:val="1"/>
                <w:szCs w:val="1"/>
                <w:color w:val="auto"/>
              </w:rPr>
            </w:pPr>
          </w:p>
        </w:tc>
      </w:tr>
      <w:tr>
        <w:trPr>
          <w:trHeight w:val="223"/>
        </w:trPr>
        <w:tc>
          <w:tcPr>
            <w:tcW w:w="2980" w:type="dxa"/>
            <w:vAlign w:val="bottom"/>
            <w:tcBorders>
              <w:left w:val="single" w:sz="8" w:color="C1E5F5"/>
              <w:bottom w:val="single" w:sz="8" w:color="auto"/>
              <w:right w:val="single" w:sz="8" w:color="auto"/>
            </w:tcBorders>
            <w:shd w:val="clear" w:color="auto" w:fill="C1E5F5"/>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Accounting Standards Codification, as issued by the FASB</w:t>
            </w:r>
          </w:p>
        </w:tc>
        <w:tc>
          <w:tcPr>
            <w:tcW w:w="0" w:type="dxa"/>
            <w:vAlign w:val="bottom"/>
          </w:tcPr>
          <w:p>
            <w:pPr>
              <w:spacing w:after="0"/>
              <w:rPr>
                <w:sz w:val="1"/>
                <w:szCs w:val="1"/>
                <w:color w:val="auto"/>
              </w:rPr>
            </w:pPr>
          </w:p>
        </w:tc>
      </w:tr>
      <w:tr>
        <w:trPr>
          <w:trHeight w:val="205"/>
        </w:trPr>
        <w:tc>
          <w:tcPr>
            <w:tcW w:w="298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Banc of California Credit Facility</w:t>
            </w:r>
          </w:p>
        </w:tc>
        <w:tc>
          <w:tcPr>
            <w:tcW w:w="8320" w:type="dxa"/>
            <w:vAlign w:val="bottom"/>
            <w:tcBorders>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A senior secured revolving credit facility, as amended, with Banc of California (formerly known as Pacific</w:t>
            </w:r>
          </w:p>
        </w:tc>
        <w:tc>
          <w:tcPr>
            <w:tcW w:w="0" w:type="dxa"/>
            <w:vAlign w:val="bottom"/>
          </w:tcPr>
          <w:p>
            <w:pPr>
              <w:spacing w:after="0"/>
              <w:rPr>
                <w:sz w:val="1"/>
                <w:szCs w:val="1"/>
                <w:color w:val="auto"/>
              </w:rPr>
            </w:pPr>
          </w:p>
        </w:tc>
      </w:tr>
      <w:tr>
        <w:trPr>
          <w:trHeight w:val="216"/>
        </w:trPr>
        <w:tc>
          <w:tcPr>
            <w:tcW w:w="2980" w:type="dxa"/>
            <w:vAlign w:val="bottom"/>
            <w:tcBorders>
              <w:right w:val="single" w:sz="8" w:color="auto"/>
            </w:tcBorders>
          </w:tcPr>
          <w:p>
            <w:pPr>
              <w:spacing w:after="0"/>
              <w:rPr>
                <w:sz w:val="18"/>
                <w:szCs w:val="18"/>
                <w:color w:val="auto"/>
              </w:rPr>
            </w:pPr>
          </w:p>
        </w:tc>
        <w:tc>
          <w:tcPr>
            <w:tcW w:w="8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Western Bank), as lender, that provides for borrowings to the Company in an aggregate principal amount up to</w:t>
            </w:r>
          </w:p>
        </w:tc>
        <w:tc>
          <w:tcPr>
            <w:tcW w:w="0" w:type="dxa"/>
            <w:vAlign w:val="bottom"/>
          </w:tcPr>
          <w:p>
            <w:pPr>
              <w:spacing w:after="0"/>
              <w:rPr>
                <w:sz w:val="1"/>
                <w:szCs w:val="1"/>
                <w:color w:val="auto"/>
              </w:rPr>
            </w:pPr>
          </w:p>
        </w:tc>
      </w:tr>
      <w:tr>
        <w:trPr>
          <w:trHeight w:val="234"/>
        </w:trPr>
        <w:tc>
          <w:tcPr>
            <w:tcW w:w="2980" w:type="dxa"/>
            <w:vAlign w:val="bottom"/>
            <w:tcBorders>
              <w:bottom w:val="single" w:sz="8" w:color="auto"/>
              <w:right w:val="single" w:sz="8" w:color="auto"/>
            </w:tcBorders>
          </w:tcPr>
          <w:p>
            <w:pPr>
              <w:spacing w:after="0"/>
              <w:rPr>
                <w:sz w:val="20"/>
                <w:szCs w:val="20"/>
                <w:color w:val="auto"/>
              </w:rPr>
            </w:pP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23"/>
        </w:trPr>
        <w:tc>
          <w:tcPr>
            <w:tcW w:w="2980" w:type="dxa"/>
            <w:vAlign w:val="bottom"/>
            <w:tcBorders>
              <w:left w:val="single" w:sz="8" w:color="C1E5F5"/>
              <w:bottom w:val="single" w:sz="8" w:color="auto"/>
              <w:right w:val="single" w:sz="8" w:color="auto"/>
            </w:tcBorders>
            <w:shd w:val="clear" w:color="auto" w:fill="C1E5F5"/>
          </w:tcPr>
          <w:p>
            <w:pPr>
              <w:ind w:left="20"/>
              <w:spacing w:after="0"/>
              <w:rPr>
                <w:sz w:val="20"/>
                <w:szCs w:val="20"/>
                <w:color w:val="auto"/>
              </w:rPr>
            </w:pPr>
            <w:r>
              <w:rPr>
                <w:rFonts w:ascii="Times New Roman" w:cs="Times New Roman" w:eastAsia="Times New Roman" w:hAnsi="Times New Roman"/>
                <w:sz w:val="18"/>
                <w:szCs w:val="18"/>
                <w:color w:val="auto"/>
              </w:rPr>
              <w:t>BDC</w:t>
            </w: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Business Development Company under the 1940 Act</w:t>
            </w:r>
          </w:p>
        </w:tc>
        <w:tc>
          <w:tcPr>
            <w:tcW w:w="0" w:type="dxa"/>
            <w:vAlign w:val="bottom"/>
          </w:tcPr>
          <w:p>
            <w:pPr>
              <w:spacing w:after="0"/>
              <w:rPr>
                <w:sz w:val="1"/>
                <w:szCs w:val="1"/>
                <w:color w:val="auto"/>
              </w:rPr>
            </w:pPr>
          </w:p>
        </w:tc>
      </w:tr>
      <w:tr>
        <w:trPr>
          <w:trHeight w:val="205"/>
        </w:trPr>
        <w:tc>
          <w:tcPr>
            <w:tcW w:w="298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BLA</w:t>
            </w:r>
          </w:p>
        </w:tc>
        <w:tc>
          <w:tcPr>
            <w:tcW w:w="8320" w:type="dxa"/>
            <w:vAlign w:val="bottom"/>
            <w:tcBorders>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Business Loan Agreement, as amended, with Banc of California, as lender, which provides the Company with a</w:t>
            </w:r>
          </w:p>
        </w:tc>
        <w:tc>
          <w:tcPr>
            <w:tcW w:w="0" w:type="dxa"/>
            <w:vAlign w:val="bottom"/>
          </w:tcPr>
          <w:p>
            <w:pPr>
              <w:spacing w:after="0"/>
              <w:rPr>
                <w:sz w:val="1"/>
                <w:szCs w:val="1"/>
                <w:color w:val="auto"/>
              </w:rPr>
            </w:pPr>
          </w:p>
        </w:tc>
      </w:tr>
      <w:tr>
        <w:trPr>
          <w:trHeight w:val="234"/>
        </w:trPr>
        <w:tc>
          <w:tcPr>
            <w:tcW w:w="2980" w:type="dxa"/>
            <w:vAlign w:val="bottom"/>
            <w:tcBorders>
              <w:bottom w:val="single" w:sz="8" w:color="auto"/>
              <w:right w:val="single" w:sz="8" w:color="auto"/>
            </w:tcBorders>
          </w:tcPr>
          <w:p>
            <w:pPr>
              <w:spacing w:after="0"/>
              <w:rPr>
                <w:sz w:val="20"/>
                <w:szCs w:val="20"/>
                <w:color w:val="auto"/>
              </w:rPr>
            </w:pP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0" w:type="dxa"/>
            <w:vAlign w:val="bottom"/>
          </w:tcPr>
          <w:p>
            <w:pPr>
              <w:spacing w:after="0"/>
              <w:rPr>
                <w:sz w:val="1"/>
                <w:szCs w:val="1"/>
                <w:color w:val="auto"/>
              </w:rPr>
            </w:pPr>
          </w:p>
        </w:tc>
      </w:tr>
      <w:tr>
        <w:trPr>
          <w:trHeight w:val="205"/>
        </w:trPr>
        <w:tc>
          <w:tcPr>
            <w:tcW w:w="2980" w:type="dxa"/>
            <w:vAlign w:val="bottom"/>
            <w:tcBorders>
              <w:left w:val="single" w:sz="8" w:color="C1E5F5"/>
              <w:right w:val="single" w:sz="8" w:color="auto"/>
            </w:tcBorders>
            <w:shd w:val="clear" w:color="auto" w:fill="C1E5F5"/>
          </w:tcPr>
          <w:p>
            <w:pPr>
              <w:ind w:left="20"/>
              <w:spacing w:after="0" w:line="205" w:lineRule="exact"/>
              <w:rPr>
                <w:sz w:val="20"/>
                <w:szCs w:val="20"/>
                <w:color w:val="auto"/>
              </w:rPr>
            </w:pPr>
            <w:r>
              <w:rPr>
                <w:rFonts w:ascii="Times New Roman" w:cs="Times New Roman" w:eastAsia="Times New Roman" w:hAnsi="Times New Roman"/>
                <w:sz w:val="18"/>
                <w:szCs w:val="18"/>
                <w:color w:val="auto"/>
              </w:rPr>
              <w:t>BNP Facility</w:t>
            </w:r>
          </w:p>
        </w:tc>
        <w:tc>
          <w:tcPr>
            <w:tcW w:w="8320" w:type="dxa"/>
            <w:vAlign w:val="bottom"/>
            <w:tcBorders>
              <w:right w:val="single" w:sz="8" w:color="auto"/>
            </w:tcBorders>
            <w:shd w:val="clear" w:color="auto" w:fill="C1E5F5"/>
          </w:tcPr>
          <w:p>
            <w:pPr>
              <w:spacing w:after="0" w:line="205" w:lineRule="exact"/>
              <w:rPr>
                <w:sz w:val="20"/>
                <w:szCs w:val="20"/>
                <w:color w:val="auto"/>
              </w:rPr>
            </w:pPr>
            <w:r>
              <w:rPr>
                <w:rFonts w:ascii="Times New Roman" w:cs="Times New Roman" w:eastAsia="Times New Roman" w:hAnsi="Times New Roman"/>
                <w:sz w:val="18"/>
                <w:szCs w:val="18"/>
                <w:color w:val="auto"/>
              </w:rPr>
              <w:t>A secured revolving credit facility, as amended, that provided for borrowings in an aggregate principal amount up</w:t>
            </w:r>
          </w:p>
        </w:tc>
        <w:tc>
          <w:tcPr>
            <w:tcW w:w="0" w:type="dxa"/>
            <w:vAlign w:val="bottom"/>
          </w:tcPr>
          <w:p>
            <w:pPr>
              <w:spacing w:after="0"/>
              <w:rPr>
                <w:sz w:val="1"/>
                <w:szCs w:val="1"/>
                <w:color w:val="auto"/>
              </w:rPr>
            </w:pPr>
          </w:p>
        </w:tc>
      </w:tr>
      <w:tr>
        <w:trPr>
          <w:trHeight w:val="216"/>
        </w:trPr>
        <w:tc>
          <w:tcPr>
            <w:tcW w:w="2980" w:type="dxa"/>
            <w:vAlign w:val="bottom"/>
            <w:tcBorders>
              <w:left w:val="single" w:sz="8" w:color="C1E5F5"/>
              <w:right w:val="single" w:sz="8" w:color="auto"/>
            </w:tcBorders>
            <w:shd w:val="clear" w:color="auto" w:fill="C1E5F5"/>
          </w:tcPr>
          <w:p>
            <w:pPr>
              <w:spacing w:after="0"/>
              <w:rPr>
                <w:sz w:val="18"/>
                <w:szCs w:val="18"/>
                <w:color w:val="auto"/>
              </w:rPr>
            </w:pPr>
          </w:p>
        </w:tc>
        <w:tc>
          <w:tcPr>
            <w:tcW w:w="8320" w:type="dxa"/>
            <w:vAlign w:val="bottom"/>
            <w:tcBorders>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to $80,000,000 during its reinvestment period, issued pursuant to a Revolving Credit and Security Agreement, as</w:t>
            </w:r>
          </w:p>
        </w:tc>
        <w:tc>
          <w:tcPr>
            <w:tcW w:w="0" w:type="dxa"/>
            <w:vAlign w:val="bottom"/>
          </w:tcPr>
          <w:p>
            <w:pPr>
              <w:spacing w:after="0"/>
              <w:rPr>
                <w:sz w:val="1"/>
                <w:szCs w:val="1"/>
                <w:color w:val="auto"/>
              </w:rPr>
            </w:pPr>
          </w:p>
        </w:tc>
      </w:tr>
      <w:tr>
        <w:trPr>
          <w:trHeight w:val="216"/>
        </w:trPr>
        <w:tc>
          <w:tcPr>
            <w:tcW w:w="2980" w:type="dxa"/>
            <w:vAlign w:val="bottom"/>
            <w:tcBorders>
              <w:left w:val="single" w:sz="8" w:color="C1E5F5"/>
              <w:right w:val="single" w:sz="8" w:color="auto"/>
            </w:tcBorders>
            <w:shd w:val="clear" w:color="auto" w:fill="C1E5F5"/>
          </w:tcPr>
          <w:p>
            <w:pPr>
              <w:spacing w:after="0"/>
              <w:rPr>
                <w:sz w:val="18"/>
                <w:szCs w:val="18"/>
                <w:color w:val="auto"/>
              </w:rPr>
            </w:pPr>
          </w:p>
        </w:tc>
        <w:tc>
          <w:tcPr>
            <w:tcW w:w="8320" w:type="dxa"/>
            <w:vAlign w:val="bottom"/>
            <w:tcBorders>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amended, by and among OFSCC-FS, the lenders from time to time parties thereto, BNP Paribas, as administrative</w:t>
            </w:r>
          </w:p>
        </w:tc>
        <w:tc>
          <w:tcPr>
            <w:tcW w:w="0" w:type="dxa"/>
            <w:vAlign w:val="bottom"/>
          </w:tcPr>
          <w:p>
            <w:pPr>
              <w:spacing w:after="0"/>
              <w:rPr>
                <w:sz w:val="1"/>
                <w:szCs w:val="1"/>
                <w:color w:val="auto"/>
              </w:rPr>
            </w:pPr>
          </w:p>
        </w:tc>
      </w:tr>
      <w:tr>
        <w:trPr>
          <w:trHeight w:val="216"/>
        </w:trPr>
        <w:tc>
          <w:tcPr>
            <w:tcW w:w="2980" w:type="dxa"/>
            <w:vAlign w:val="bottom"/>
            <w:tcBorders>
              <w:left w:val="single" w:sz="8" w:color="C1E5F5"/>
              <w:right w:val="single" w:sz="8" w:color="auto"/>
            </w:tcBorders>
            <w:shd w:val="clear" w:color="auto" w:fill="C1E5F5"/>
          </w:tcPr>
          <w:p>
            <w:pPr>
              <w:spacing w:after="0"/>
              <w:rPr>
                <w:sz w:val="18"/>
                <w:szCs w:val="18"/>
                <w:color w:val="auto"/>
              </w:rPr>
            </w:pPr>
          </w:p>
        </w:tc>
        <w:tc>
          <w:tcPr>
            <w:tcW w:w="8320" w:type="dxa"/>
            <w:vAlign w:val="bottom"/>
            <w:tcBorders>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agent, OFSCC-FS Holdings, LLC, a wholly owned subsidiary of the Company, as equityholder, the Company, as</w:t>
            </w:r>
          </w:p>
        </w:tc>
        <w:tc>
          <w:tcPr>
            <w:tcW w:w="0" w:type="dxa"/>
            <w:vAlign w:val="bottom"/>
          </w:tcPr>
          <w:p>
            <w:pPr>
              <w:spacing w:after="0"/>
              <w:rPr>
                <w:sz w:val="1"/>
                <w:szCs w:val="1"/>
                <w:color w:val="auto"/>
              </w:rPr>
            </w:pPr>
          </w:p>
        </w:tc>
      </w:tr>
      <w:tr>
        <w:trPr>
          <w:trHeight w:val="216"/>
        </w:trPr>
        <w:tc>
          <w:tcPr>
            <w:tcW w:w="2980" w:type="dxa"/>
            <w:vAlign w:val="bottom"/>
            <w:tcBorders>
              <w:left w:val="single" w:sz="8" w:color="C1E5F5"/>
              <w:right w:val="single" w:sz="8" w:color="auto"/>
            </w:tcBorders>
            <w:shd w:val="clear" w:color="auto" w:fill="C1E5F5"/>
          </w:tcPr>
          <w:p>
            <w:pPr>
              <w:spacing w:after="0"/>
              <w:rPr>
                <w:sz w:val="18"/>
                <w:szCs w:val="18"/>
                <w:color w:val="auto"/>
              </w:rPr>
            </w:pPr>
          </w:p>
        </w:tc>
        <w:tc>
          <w:tcPr>
            <w:tcW w:w="8320" w:type="dxa"/>
            <w:vAlign w:val="bottom"/>
            <w:tcBorders>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servicer, Citibank, N.A., as collateral agent and Virtus Group, LP, as collateral administrator, which was fully</w:t>
            </w:r>
          </w:p>
        </w:tc>
        <w:tc>
          <w:tcPr>
            <w:tcW w:w="0" w:type="dxa"/>
            <w:vAlign w:val="bottom"/>
          </w:tcPr>
          <w:p>
            <w:pPr>
              <w:spacing w:after="0"/>
              <w:rPr>
                <w:sz w:val="1"/>
                <w:szCs w:val="1"/>
                <w:color w:val="auto"/>
              </w:rPr>
            </w:pPr>
          </w:p>
        </w:tc>
      </w:tr>
      <w:tr>
        <w:trPr>
          <w:trHeight w:val="234"/>
        </w:trPr>
        <w:tc>
          <w:tcPr>
            <w:tcW w:w="2980" w:type="dxa"/>
            <w:vAlign w:val="bottom"/>
            <w:tcBorders>
              <w:left w:val="single" w:sz="8" w:color="C1E5F5"/>
              <w:bottom w:val="single" w:sz="8" w:color="auto"/>
              <w:right w:val="single" w:sz="8" w:color="auto"/>
            </w:tcBorders>
            <w:shd w:val="clear" w:color="auto" w:fill="C1E5F5"/>
          </w:tcPr>
          <w:p>
            <w:pPr>
              <w:spacing w:after="0"/>
              <w:rPr>
                <w:sz w:val="20"/>
                <w:szCs w:val="20"/>
                <w:color w:val="auto"/>
              </w:rPr>
            </w:pP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repaid and terminated on February 18, 2026</w:t>
            </w:r>
          </w:p>
        </w:tc>
        <w:tc>
          <w:tcPr>
            <w:tcW w:w="0" w:type="dxa"/>
            <w:vAlign w:val="bottom"/>
          </w:tcPr>
          <w:p>
            <w:pPr>
              <w:spacing w:after="0"/>
              <w:rPr>
                <w:sz w:val="1"/>
                <w:szCs w:val="1"/>
                <w:color w:val="auto"/>
              </w:rPr>
            </w:pPr>
          </w:p>
        </w:tc>
      </w:tr>
      <w:tr>
        <w:trPr>
          <w:trHeight w:val="209"/>
        </w:trPr>
        <w:tc>
          <w:tcPr>
            <w:tcW w:w="2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Company’s board of directors</w:t>
            </w:r>
          </w:p>
        </w:tc>
        <w:tc>
          <w:tcPr>
            <w:tcW w:w="0" w:type="dxa"/>
            <w:vAlign w:val="bottom"/>
          </w:tcPr>
          <w:p>
            <w:pPr>
              <w:spacing w:after="0"/>
              <w:rPr>
                <w:sz w:val="1"/>
                <w:szCs w:val="1"/>
                <w:color w:val="auto"/>
              </w:rPr>
            </w:pPr>
          </w:p>
        </w:tc>
      </w:tr>
      <w:tr>
        <w:trPr>
          <w:trHeight w:val="223"/>
        </w:trPr>
        <w:tc>
          <w:tcPr>
            <w:tcW w:w="2980" w:type="dxa"/>
            <w:vAlign w:val="bottom"/>
            <w:tcBorders>
              <w:left w:val="single" w:sz="8" w:color="C1E5F5"/>
              <w:bottom w:val="single" w:sz="8" w:color="auto"/>
              <w:right w:val="single" w:sz="8" w:color="auto"/>
            </w:tcBorders>
            <w:shd w:val="clear" w:color="auto" w:fill="C1E5F5"/>
          </w:tcPr>
          <w:p>
            <w:pPr>
              <w:ind w:left="20"/>
              <w:spacing w:after="0"/>
              <w:rPr>
                <w:sz w:val="20"/>
                <w:szCs w:val="20"/>
                <w:color w:val="auto"/>
              </w:rPr>
            </w:pPr>
            <w:r>
              <w:rPr>
                <w:rFonts w:ascii="Times New Roman" w:cs="Times New Roman" w:eastAsia="Times New Roman" w:hAnsi="Times New Roman"/>
                <w:sz w:val="18"/>
                <w:szCs w:val="18"/>
                <w:color w:val="auto"/>
              </w:rPr>
              <w:t>CLO</w:t>
            </w: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Collateralized loan obligation</w:t>
            </w:r>
          </w:p>
        </w:tc>
        <w:tc>
          <w:tcPr>
            <w:tcW w:w="0" w:type="dxa"/>
            <w:vAlign w:val="bottom"/>
          </w:tcPr>
          <w:p>
            <w:pPr>
              <w:spacing w:after="0"/>
              <w:rPr>
                <w:sz w:val="1"/>
                <w:szCs w:val="1"/>
                <w:color w:val="auto"/>
              </w:rPr>
            </w:pPr>
          </w:p>
        </w:tc>
      </w:tr>
      <w:tr>
        <w:trPr>
          <w:trHeight w:val="223"/>
        </w:trPr>
        <w:tc>
          <w:tcPr>
            <w:tcW w:w="2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Code</w:t>
            </w: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Internal Revenue Code of 1986, as amended</w:t>
            </w:r>
          </w:p>
        </w:tc>
        <w:tc>
          <w:tcPr>
            <w:tcW w:w="0" w:type="dxa"/>
            <w:vAlign w:val="bottom"/>
          </w:tcPr>
          <w:p>
            <w:pPr>
              <w:spacing w:after="0"/>
              <w:rPr>
                <w:sz w:val="1"/>
                <w:szCs w:val="1"/>
                <w:color w:val="auto"/>
              </w:rPr>
            </w:pPr>
          </w:p>
        </w:tc>
      </w:tr>
      <w:tr>
        <w:trPr>
          <w:trHeight w:val="223"/>
        </w:trPr>
        <w:tc>
          <w:tcPr>
            <w:tcW w:w="2980" w:type="dxa"/>
            <w:vAlign w:val="bottom"/>
            <w:tcBorders>
              <w:left w:val="single" w:sz="8" w:color="C1E5F5"/>
              <w:bottom w:val="single" w:sz="8" w:color="auto"/>
              <w:right w:val="single" w:sz="8" w:color="auto"/>
            </w:tcBorders>
            <w:shd w:val="clear" w:color="auto" w:fill="C1E5F5"/>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OFS Capital Corporation and, where applicable, its consolidated subsidiaries</w:t>
            </w:r>
          </w:p>
        </w:tc>
        <w:tc>
          <w:tcPr>
            <w:tcW w:w="0" w:type="dxa"/>
            <w:vAlign w:val="bottom"/>
          </w:tcPr>
          <w:p>
            <w:pPr>
              <w:spacing w:after="0"/>
              <w:rPr>
                <w:sz w:val="1"/>
                <w:szCs w:val="1"/>
                <w:color w:val="auto"/>
              </w:rPr>
            </w:pPr>
          </w:p>
        </w:tc>
      </w:tr>
      <w:tr>
        <w:trPr>
          <w:trHeight w:val="223"/>
        </w:trPr>
        <w:tc>
          <w:tcPr>
            <w:tcW w:w="2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DRIP</w:t>
            </w: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Dividend reinvestment plan</w:t>
            </w:r>
          </w:p>
        </w:tc>
        <w:tc>
          <w:tcPr>
            <w:tcW w:w="0" w:type="dxa"/>
            <w:vAlign w:val="bottom"/>
          </w:tcPr>
          <w:p>
            <w:pPr>
              <w:spacing w:after="0"/>
              <w:rPr>
                <w:sz w:val="1"/>
                <w:szCs w:val="1"/>
                <w:color w:val="auto"/>
              </w:rPr>
            </w:pPr>
          </w:p>
        </w:tc>
      </w:tr>
      <w:tr>
        <w:trPr>
          <w:trHeight w:val="223"/>
        </w:trPr>
        <w:tc>
          <w:tcPr>
            <w:tcW w:w="2980" w:type="dxa"/>
            <w:vAlign w:val="bottom"/>
            <w:tcBorders>
              <w:left w:val="single" w:sz="8" w:color="C1E5F5"/>
              <w:bottom w:val="single" w:sz="8" w:color="auto"/>
              <w:right w:val="single" w:sz="8" w:color="auto"/>
            </w:tcBorders>
            <w:shd w:val="clear" w:color="auto" w:fill="C1E5F5"/>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c>
          <w:tcPr>
            <w:tcW w:w="0" w:type="dxa"/>
            <w:vAlign w:val="bottom"/>
          </w:tcPr>
          <w:p>
            <w:pPr>
              <w:spacing w:after="0"/>
              <w:rPr>
                <w:sz w:val="1"/>
                <w:szCs w:val="1"/>
                <w:color w:val="auto"/>
              </w:rPr>
            </w:pPr>
          </w:p>
        </w:tc>
      </w:tr>
      <w:tr>
        <w:trPr>
          <w:trHeight w:val="223"/>
        </w:trPr>
        <w:tc>
          <w:tcPr>
            <w:tcW w:w="2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c>
          <w:tcPr>
            <w:tcW w:w="0" w:type="dxa"/>
            <w:vAlign w:val="bottom"/>
          </w:tcPr>
          <w:p>
            <w:pPr>
              <w:spacing w:after="0"/>
              <w:rPr>
                <w:sz w:val="1"/>
                <w:szCs w:val="1"/>
                <w:color w:val="auto"/>
              </w:rPr>
            </w:pPr>
          </w:p>
        </w:tc>
      </w:tr>
      <w:tr>
        <w:trPr>
          <w:trHeight w:val="223"/>
        </w:trPr>
        <w:tc>
          <w:tcPr>
            <w:tcW w:w="2980" w:type="dxa"/>
            <w:vAlign w:val="bottom"/>
            <w:tcBorders>
              <w:left w:val="single" w:sz="8" w:color="C1E5F5"/>
              <w:bottom w:val="single" w:sz="8" w:color="auto"/>
              <w:right w:val="single" w:sz="8" w:color="auto"/>
            </w:tcBorders>
            <w:shd w:val="clear" w:color="auto" w:fill="C1E5F5"/>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0" w:type="dxa"/>
            <w:vAlign w:val="bottom"/>
          </w:tcPr>
          <w:p>
            <w:pPr>
              <w:spacing w:after="0"/>
              <w:rPr>
                <w:sz w:val="1"/>
                <w:szCs w:val="1"/>
                <w:color w:val="auto"/>
              </w:rPr>
            </w:pPr>
          </w:p>
        </w:tc>
      </w:tr>
      <w:tr>
        <w:trPr>
          <w:trHeight w:val="223"/>
        </w:trPr>
        <w:tc>
          <w:tcPr>
            <w:tcW w:w="2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0" w:type="dxa"/>
            <w:vAlign w:val="bottom"/>
          </w:tcPr>
          <w:p>
            <w:pPr>
              <w:spacing w:after="0"/>
              <w:rPr>
                <w:sz w:val="1"/>
                <w:szCs w:val="1"/>
                <w:color w:val="auto"/>
              </w:rPr>
            </w:pPr>
          </w:p>
        </w:tc>
      </w:tr>
      <w:tr>
        <w:trPr>
          <w:trHeight w:val="223"/>
        </w:trPr>
        <w:tc>
          <w:tcPr>
            <w:tcW w:w="2980" w:type="dxa"/>
            <w:vAlign w:val="bottom"/>
            <w:tcBorders>
              <w:left w:val="single" w:sz="8" w:color="C1E5F5"/>
              <w:bottom w:val="single" w:sz="8" w:color="auto"/>
              <w:right w:val="single" w:sz="8" w:color="auto"/>
            </w:tcBorders>
            <w:shd w:val="clear" w:color="auto" w:fill="C1E5F5"/>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w:t>
            </w:r>
          </w:p>
        </w:tc>
        <w:tc>
          <w:tcPr>
            <w:tcW w:w="0" w:type="dxa"/>
            <w:vAlign w:val="bottom"/>
          </w:tcPr>
          <w:p>
            <w:pPr>
              <w:spacing w:after="0"/>
              <w:rPr>
                <w:sz w:val="1"/>
                <w:szCs w:val="1"/>
                <w:color w:val="auto"/>
              </w:rPr>
            </w:pPr>
          </w:p>
        </w:tc>
      </w:tr>
      <w:tr>
        <w:trPr>
          <w:trHeight w:val="205"/>
        </w:trPr>
        <w:tc>
          <w:tcPr>
            <w:tcW w:w="298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HPCI</w:t>
            </w:r>
          </w:p>
        </w:tc>
        <w:tc>
          <w:tcPr>
            <w:tcW w:w="8320" w:type="dxa"/>
            <w:vAlign w:val="bottom"/>
            <w:tcBorders>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Hancock Park Corporate Income, Inc., a Maryland corporation and non-traded BDC, for which OFS Advisor</w:t>
            </w:r>
          </w:p>
        </w:tc>
        <w:tc>
          <w:tcPr>
            <w:tcW w:w="0" w:type="dxa"/>
            <w:vAlign w:val="bottom"/>
          </w:tcPr>
          <w:p>
            <w:pPr>
              <w:spacing w:after="0"/>
              <w:rPr>
                <w:sz w:val="1"/>
                <w:szCs w:val="1"/>
                <w:color w:val="auto"/>
              </w:rPr>
            </w:pPr>
          </w:p>
        </w:tc>
      </w:tr>
      <w:tr>
        <w:trPr>
          <w:trHeight w:val="234"/>
        </w:trPr>
        <w:tc>
          <w:tcPr>
            <w:tcW w:w="2980" w:type="dxa"/>
            <w:vAlign w:val="bottom"/>
            <w:tcBorders>
              <w:bottom w:val="single" w:sz="8" w:color="auto"/>
              <w:right w:val="single" w:sz="8" w:color="auto"/>
            </w:tcBorders>
          </w:tcPr>
          <w:p>
            <w:pPr>
              <w:spacing w:after="0"/>
              <w:rPr>
                <w:sz w:val="20"/>
                <w:szCs w:val="20"/>
                <w:color w:val="auto"/>
              </w:rPr>
            </w:pP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serves as investment adviser</w:t>
            </w:r>
          </w:p>
        </w:tc>
        <w:tc>
          <w:tcPr>
            <w:tcW w:w="0" w:type="dxa"/>
            <w:vAlign w:val="bottom"/>
          </w:tcPr>
          <w:p>
            <w:pPr>
              <w:spacing w:after="0"/>
              <w:rPr>
                <w:sz w:val="1"/>
                <w:szCs w:val="1"/>
                <w:color w:val="auto"/>
              </w:rPr>
            </w:pPr>
          </w:p>
        </w:tc>
      </w:tr>
      <w:tr>
        <w:trPr>
          <w:trHeight w:val="205"/>
        </w:trPr>
        <w:tc>
          <w:tcPr>
            <w:tcW w:w="2980" w:type="dxa"/>
            <w:vAlign w:val="bottom"/>
            <w:tcBorders>
              <w:left w:val="single" w:sz="8" w:color="C1E5F5"/>
              <w:right w:val="single" w:sz="8" w:color="auto"/>
            </w:tcBorders>
            <w:shd w:val="clear" w:color="auto" w:fill="C1E5F5"/>
          </w:tcPr>
          <w:p>
            <w:pPr>
              <w:ind w:left="20"/>
              <w:spacing w:after="0" w:line="205" w:lineRule="exact"/>
              <w:rPr>
                <w:sz w:val="20"/>
                <w:szCs w:val="20"/>
                <w:color w:val="auto"/>
              </w:rPr>
            </w:pPr>
            <w:r>
              <w:rPr>
                <w:rFonts w:ascii="Times New Roman" w:cs="Times New Roman" w:eastAsia="Times New Roman" w:hAnsi="Times New Roman"/>
                <w:sz w:val="18"/>
                <w:szCs w:val="18"/>
                <w:color w:val="auto"/>
              </w:rPr>
              <w:t>ICTI</w:t>
            </w:r>
          </w:p>
        </w:tc>
        <w:tc>
          <w:tcPr>
            <w:tcW w:w="8320" w:type="dxa"/>
            <w:vAlign w:val="bottom"/>
            <w:tcBorders>
              <w:right w:val="single" w:sz="8" w:color="auto"/>
            </w:tcBorders>
            <w:shd w:val="clear" w:color="auto" w:fill="C1E5F5"/>
          </w:tcPr>
          <w:p>
            <w:pPr>
              <w:spacing w:after="0" w:line="205" w:lineRule="exact"/>
              <w:rPr>
                <w:sz w:val="20"/>
                <w:szCs w:val="20"/>
                <w:color w:val="auto"/>
              </w:rPr>
            </w:pPr>
            <w:r>
              <w:rPr>
                <w:rFonts w:ascii="Times New Roman" w:cs="Times New Roman" w:eastAsia="Times New Roman" w:hAnsi="Times New Roman"/>
                <w:sz w:val="18"/>
                <w:szCs w:val="18"/>
                <w:color w:val="auto"/>
              </w:rPr>
              <w:t>Investment company taxable income, which is generally net ordinary income plus net short-term capital gains in</w:t>
            </w:r>
          </w:p>
        </w:tc>
        <w:tc>
          <w:tcPr>
            <w:tcW w:w="0" w:type="dxa"/>
            <w:vAlign w:val="bottom"/>
          </w:tcPr>
          <w:p>
            <w:pPr>
              <w:spacing w:after="0"/>
              <w:rPr>
                <w:sz w:val="1"/>
                <w:szCs w:val="1"/>
                <w:color w:val="auto"/>
              </w:rPr>
            </w:pPr>
          </w:p>
        </w:tc>
      </w:tr>
      <w:tr>
        <w:trPr>
          <w:trHeight w:val="234"/>
        </w:trPr>
        <w:tc>
          <w:tcPr>
            <w:tcW w:w="2980" w:type="dxa"/>
            <w:vAlign w:val="bottom"/>
            <w:tcBorders>
              <w:left w:val="single" w:sz="8" w:color="C1E5F5"/>
              <w:bottom w:val="single" w:sz="8" w:color="auto"/>
              <w:right w:val="single" w:sz="8" w:color="auto"/>
            </w:tcBorders>
            <w:shd w:val="clear" w:color="auto" w:fill="C1E5F5"/>
          </w:tcPr>
          <w:p>
            <w:pPr>
              <w:spacing w:after="0"/>
              <w:rPr>
                <w:sz w:val="20"/>
                <w:szCs w:val="20"/>
                <w:color w:val="auto"/>
              </w:rPr>
            </w:pP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excess of net long-term capital losses</w:t>
            </w:r>
          </w:p>
        </w:tc>
        <w:tc>
          <w:tcPr>
            <w:tcW w:w="0" w:type="dxa"/>
            <w:vAlign w:val="bottom"/>
          </w:tcPr>
          <w:p>
            <w:pPr>
              <w:spacing w:after="0"/>
              <w:rPr>
                <w:sz w:val="1"/>
                <w:szCs w:val="1"/>
                <w:color w:val="auto"/>
              </w:rPr>
            </w:pPr>
          </w:p>
        </w:tc>
      </w:tr>
      <w:tr>
        <w:trPr>
          <w:trHeight w:val="223"/>
        </w:trPr>
        <w:tc>
          <w:tcPr>
            <w:tcW w:w="2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Indicative Prices</w:t>
            </w: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Market quotations, prices from pricing services or bids from brokers or dealers</w:t>
            </w:r>
          </w:p>
        </w:tc>
        <w:tc>
          <w:tcPr>
            <w:tcW w:w="0" w:type="dxa"/>
            <w:vAlign w:val="bottom"/>
          </w:tcPr>
          <w:p>
            <w:pPr>
              <w:spacing w:after="0"/>
              <w:rPr>
                <w:sz w:val="1"/>
                <w:szCs w:val="1"/>
                <w:color w:val="auto"/>
              </w:rPr>
            </w:pPr>
          </w:p>
        </w:tc>
      </w:tr>
      <w:tr>
        <w:trPr>
          <w:trHeight w:val="205"/>
        </w:trPr>
        <w:tc>
          <w:tcPr>
            <w:tcW w:w="2980" w:type="dxa"/>
            <w:vAlign w:val="bottom"/>
            <w:tcBorders>
              <w:left w:val="single" w:sz="8" w:color="C1E5F5"/>
              <w:right w:val="single" w:sz="8" w:color="auto"/>
            </w:tcBorders>
            <w:shd w:val="clear" w:color="auto" w:fill="C1E5F5"/>
          </w:tcPr>
          <w:p>
            <w:pPr>
              <w:ind w:left="20"/>
              <w:spacing w:after="0" w:line="205" w:lineRule="exact"/>
              <w:rPr>
                <w:sz w:val="20"/>
                <w:szCs w:val="20"/>
                <w:color w:val="auto"/>
              </w:rPr>
            </w:pPr>
            <w:r>
              <w:rPr>
                <w:rFonts w:ascii="Times New Roman" w:cs="Times New Roman" w:eastAsia="Times New Roman" w:hAnsi="Times New Roman"/>
                <w:sz w:val="18"/>
                <w:szCs w:val="18"/>
                <w:color w:val="auto"/>
              </w:rPr>
              <w:t>Investment Advisory Agreement</w:t>
            </w:r>
          </w:p>
        </w:tc>
        <w:tc>
          <w:tcPr>
            <w:tcW w:w="8320" w:type="dxa"/>
            <w:vAlign w:val="bottom"/>
            <w:tcBorders>
              <w:right w:val="single" w:sz="8" w:color="auto"/>
            </w:tcBorders>
            <w:shd w:val="clear" w:color="auto" w:fill="C1E5F5"/>
          </w:tcPr>
          <w:p>
            <w:pPr>
              <w:spacing w:after="0" w:line="205" w:lineRule="exact"/>
              <w:rPr>
                <w:sz w:val="20"/>
                <w:szCs w:val="20"/>
                <w:color w:val="auto"/>
              </w:rPr>
            </w:pPr>
            <w:r>
              <w:rPr>
                <w:rFonts w:ascii="Times New Roman" w:cs="Times New Roman" w:eastAsia="Times New Roman" w:hAnsi="Times New Roman"/>
                <w:sz w:val="18"/>
                <w:szCs w:val="18"/>
                <w:color w:val="auto"/>
              </w:rPr>
              <w:t>Investment Advisory and Management Agreement between the Company and OFS Advisor dated November 7,</w:t>
            </w:r>
          </w:p>
        </w:tc>
        <w:tc>
          <w:tcPr>
            <w:tcW w:w="0" w:type="dxa"/>
            <w:vAlign w:val="bottom"/>
          </w:tcPr>
          <w:p>
            <w:pPr>
              <w:spacing w:after="0"/>
              <w:rPr>
                <w:sz w:val="1"/>
                <w:szCs w:val="1"/>
                <w:color w:val="auto"/>
              </w:rPr>
            </w:pPr>
          </w:p>
        </w:tc>
      </w:tr>
      <w:tr>
        <w:trPr>
          <w:trHeight w:val="234"/>
        </w:trPr>
        <w:tc>
          <w:tcPr>
            <w:tcW w:w="2980" w:type="dxa"/>
            <w:vAlign w:val="bottom"/>
            <w:tcBorders>
              <w:left w:val="single" w:sz="8" w:color="C1E5F5"/>
              <w:bottom w:val="single" w:sz="8" w:color="auto"/>
              <w:right w:val="single" w:sz="8" w:color="auto"/>
            </w:tcBorders>
            <w:shd w:val="clear" w:color="auto" w:fill="C1E5F5"/>
          </w:tcPr>
          <w:p>
            <w:pPr>
              <w:spacing w:after="0"/>
              <w:rPr>
                <w:sz w:val="20"/>
                <w:szCs w:val="20"/>
                <w:color w:val="auto"/>
              </w:rPr>
            </w:pP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205"/>
        </w:trPr>
        <w:tc>
          <w:tcPr>
            <w:tcW w:w="298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Natixis Facility</w:t>
            </w:r>
          </w:p>
        </w:tc>
        <w:tc>
          <w:tcPr>
            <w:tcW w:w="8320" w:type="dxa"/>
            <w:vAlign w:val="bottom"/>
            <w:tcBorders>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A secured revolving credit facility that provides for borrowings in an aggregate principal amount up to</w:t>
            </w:r>
          </w:p>
        </w:tc>
        <w:tc>
          <w:tcPr>
            <w:tcW w:w="0" w:type="dxa"/>
            <w:vAlign w:val="bottom"/>
          </w:tcPr>
          <w:p>
            <w:pPr>
              <w:spacing w:after="0"/>
              <w:rPr>
                <w:sz w:val="1"/>
                <w:szCs w:val="1"/>
                <w:color w:val="auto"/>
              </w:rPr>
            </w:pPr>
          </w:p>
        </w:tc>
      </w:tr>
      <w:tr>
        <w:trPr>
          <w:trHeight w:val="216"/>
        </w:trPr>
        <w:tc>
          <w:tcPr>
            <w:tcW w:w="2980" w:type="dxa"/>
            <w:vAlign w:val="bottom"/>
            <w:tcBorders>
              <w:right w:val="single" w:sz="8" w:color="auto"/>
            </w:tcBorders>
          </w:tcPr>
          <w:p>
            <w:pPr>
              <w:spacing w:after="0"/>
              <w:rPr>
                <w:sz w:val="18"/>
                <w:szCs w:val="18"/>
                <w:color w:val="auto"/>
              </w:rPr>
            </w:pPr>
          </w:p>
        </w:tc>
        <w:tc>
          <w:tcPr>
            <w:tcW w:w="8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$80,000,000 during its reinvestment period, issued pursuant to a Revolving Credit and Security Agreement by and</w:t>
            </w:r>
          </w:p>
        </w:tc>
        <w:tc>
          <w:tcPr>
            <w:tcW w:w="0" w:type="dxa"/>
            <w:vAlign w:val="bottom"/>
          </w:tcPr>
          <w:p>
            <w:pPr>
              <w:spacing w:after="0"/>
              <w:rPr>
                <w:sz w:val="1"/>
                <w:szCs w:val="1"/>
                <w:color w:val="auto"/>
              </w:rPr>
            </w:pPr>
          </w:p>
        </w:tc>
      </w:tr>
      <w:tr>
        <w:trPr>
          <w:trHeight w:val="216"/>
        </w:trPr>
        <w:tc>
          <w:tcPr>
            <w:tcW w:w="2980" w:type="dxa"/>
            <w:vAlign w:val="bottom"/>
            <w:tcBorders>
              <w:right w:val="single" w:sz="8" w:color="auto"/>
            </w:tcBorders>
          </w:tcPr>
          <w:p>
            <w:pPr>
              <w:spacing w:after="0"/>
              <w:rPr>
                <w:sz w:val="18"/>
                <w:szCs w:val="18"/>
                <w:color w:val="auto"/>
              </w:rPr>
            </w:pPr>
          </w:p>
        </w:tc>
        <w:tc>
          <w:tcPr>
            <w:tcW w:w="8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among OFSCC-FS, the lenders from time to time parties thereto, Natixis, New York branch, as administrative</w:t>
            </w:r>
          </w:p>
        </w:tc>
        <w:tc>
          <w:tcPr>
            <w:tcW w:w="0" w:type="dxa"/>
            <w:vAlign w:val="bottom"/>
          </w:tcPr>
          <w:p>
            <w:pPr>
              <w:spacing w:after="0"/>
              <w:rPr>
                <w:sz w:val="1"/>
                <w:szCs w:val="1"/>
                <w:color w:val="auto"/>
              </w:rPr>
            </w:pPr>
          </w:p>
        </w:tc>
      </w:tr>
      <w:tr>
        <w:trPr>
          <w:trHeight w:val="216"/>
        </w:trPr>
        <w:tc>
          <w:tcPr>
            <w:tcW w:w="2980" w:type="dxa"/>
            <w:vAlign w:val="bottom"/>
            <w:tcBorders>
              <w:right w:val="single" w:sz="8" w:color="auto"/>
            </w:tcBorders>
          </w:tcPr>
          <w:p>
            <w:pPr>
              <w:spacing w:after="0"/>
              <w:rPr>
                <w:sz w:val="18"/>
                <w:szCs w:val="18"/>
                <w:color w:val="auto"/>
              </w:rPr>
            </w:pPr>
          </w:p>
        </w:tc>
        <w:tc>
          <w:tcPr>
            <w:tcW w:w="8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agent, OFSCC-FS Holdings, LLC, a wholly owned subsidiary of the Company, as equityholder, the Company, as</w:t>
            </w:r>
          </w:p>
        </w:tc>
        <w:tc>
          <w:tcPr>
            <w:tcW w:w="0" w:type="dxa"/>
            <w:vAlign w:val="bottom"/>
          </w:tcPr>
          <w:p>
            <w:pPr>
              <w:spacing w:after="0"/>
              <w:rPr>
                <w:sz w:val="1"/>
                <w:szCs w:val="1"/>
                <w:color w:val="auto"/>
              </w:rPr>
            </w:pPr>
          </w:p>
        </w:tc>
      </w:tr>
      <w:tr>
        <w:trPr>
          <w:trHeight w:val="234"/>
        </w:trPr>
        <w:tc>
          <w:tcPr>
            <w:tcW w:w="2980" w:type="dxa"/>
            <w:vAlign w:val="bottom"/>
            <w:tcBorders>
              <w:bottom w:val="single" w:sz="8" w:color="auto"/>
              <w:right w:val="single" w:sz="8" w:color="auto"/>
            </w:tcBorders>
          </w:tcPr>
          <w:p>
            <w:pPr>
              <w:spacing w:after="0"/>
              <w:rPr>
                <w:sz w:val="20"/>
                <w:szCs w:val="20"/>
                <w:color w:val="auto"/>
              </w:rPr>
            </w:pP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servicer, Citibank, N.A., as collateral agent and Virtus Group, LP, as collateral administrator</w:t>
            </w:r>
          </w:p>
        </w:tc>
        <w:tc>
          <w:tcPr>
            <w:tcW w:w="0" w:type="dxa"/>
            <w:vAlign w:val="bottom"/>
          </w:tcPr>
          <w:p>
            <w:pPr>
              <w:spacing w:after="0"/>
              <w:rPr>
                <w:sz w:val="1"/>
                <w:szCs w:val="1"/>
                <w:color w:val="auto"/>
              </w:rPr>
            </w:pPr>
          </w:p>
        </w:tc>
      </w:tr>
      <w:tr>
        <w:trPr>
          <w:trHeight w:val="205"/>
        </w:trPr>
        <w:tc>
          <w:tcPr>
            <w:tcW w:w="2980" w:type="dxa"/>
            <w:vAlign w:val="bottom"/>
            <w:tcBorders>
              <w:left w:val="single" w:sz="8" w:color="C1E5F5"/>
              <w:right w:val="single" w:sz="8" w:color="auto"/>
            </w:tcBorders>
            <w:shd w:val="clear" w:color="auto" w:fill="C1E5F5"/>
          </w:tcPr>
          <w:p>
            <w:pPr>
              <w:ind w:left="20"/>
              <w:spacing w:after="0" w:line="205" w:lineRule="exact"/>
              <w:rPr>
                <w:sz w:val="20"/>
                <w:szCs w:val="20"/>
                <w:color w:val="auto"/>
              </w:rPr>
            </w:pPr>
            <w:r>
              <w:rPr>
                <w:rFonts w:ascii="Times New Roman" w:cs="Times New Roman" w:eastAsia="Times New Roman" w:hAnsi="Times New Roman"/>
                <w:sz w:val="18"/>
                <w:szCs w:val="18"/>
                <w:color w:val="auto"/>
              </w:rPr>
              <w:t>NAV</w:t>
            </w:r>
          </w:p>
        </w:tc>
        <w:tc>
          <w:tcPr>
            <w:tcW w:w="8320" w:type="dxa"/>
            <w:vAlign w:val="bottom"/>
            <w:tcBorders>
              <w:right w:val="single" w:sz="8" w:color="auto"/>
            </w:tcBorders>
            <w:shd w:val="clear" w:color="auto" w:fill="C1E5F5"/>
          </w:tcPr>
          <w:p>
            <w:pPr>
              <w:spacing w:after="0" w:line="205" w:lineRule="exact"/>
              <w:rPr>
                <w:sz w:val="20"/>
                <w:szCs w:val="20"/>
                <w:color w:val="auto"/>
              </w:rPr>
            </w:pPr>
            <w:r>
              <w:rPr>
                <w:rFonts w:ascii="Times New Roman" w:cs="Times New Roman" w:eastAsia="Times New Roman" w:hAnsi="Times New Roman"/>
                <w:sz w:val="18"/>
                <w:szCs w:val="18"/>
                <w:color w:val="auto"/>
              </w:rPr>
              <w:t>Net asset value. NAV is calculated as consolidated total assets less consolidated total liabilities and can be</w:t>
            </w:r>
          </w:p>
        </w:tc>
        <w:tc>
          <w:tcPr>
            <w:tcW w:w="0" w:type="dxa"/>
            <w:vAlign w:val="bottom"/>
          </w:tcPr>
          <w:p>
            <w:pPr>
              <w:spacing w:after="0"/>
              <w:rPr>
                <w:sz w:val="1"/>
                <w:szCs w:val="1"/>
                <w:color w:val="auto"/>
              </w:rPr>
            </w:pPr>
          </w:p>
        </w:tc>
      </w:tr>
      <w:tr>
        <w:trPr>
          <w:trHeight w:val="234"/>
        </w:trPr>
        <w:tc>
          <w:tcPr>
            <w:tcW w:w="2980" w:type="dxa"/>
            <w:vAlign w:val="bottom"/>
            <w:tcBorders>
              <w:left w:val="single" w:sz="8" w:color="C1E5F5"/>
              <w:bottom w:val="single" w:sz="8" w:color="auto"/>
              <w:right w:val="single" w:sz="8" w:color="auto"/>
            </w:tcBorders>
            <w:shd w:val="clear" w:color="auto" w:fill="C1E5F5"/>
          </w:tcPr>
          <w:p>
            <w:pPr>
              <w:spacing w:after="0"/>
              <w:rPr>
                <w:sz w:val="20"/>
                <w:szCs w:val="20"/>
                <w:color w:val="auto"/>
              </w:rPr>
            </w:pP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expressed in the aggregate or on a per share basis</w:t>
            </w:r>
          </w:p>
        </w:tc>
        <w:tc>
          <w:tcPr>
            <w:tcW w:w="0" w:type="dxa"/>
            <w:vAlign w:val="bottom"/>
          </w:tcPr>
          <w:p>
            <w:pPr>
              <w:spacing w:after="0"/>
              <w:rPr>
                <w:sz w:val="1"/>
                <w:szCs w:val="1"/>
                <w:color w:val="auto"/>
              </w:rPr>
            </w:pPr>
          </w:p>
        </w:tc>
      </w:tr>
      <w:tr>
        <w:trPr>
          <w:trHeight w:val="205"/>
        </w:trPr>
        <w:tc>
          <w:tcPr>
            <w:tcW w:w="298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Net Loan Fees</w:t>
            </w:r>
          </w:p>
        </w:tc>
        <w:tc>
          <w:tcPr>
            <w:tcW w:w="8320" w:type="dxa"/>
            <w:vAlign w:val="bottom"/>
            <w:tcBorders>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The cumulative amount of fees, such as origination fees, discounts, premiums and amendment fees that are</w:t>
            </w:r>
          </w:p>
        </w:tc>
        <w:tc>
          <w:tcPr>
            <w:tcW w:w="0" w:type="dxa"/>
            <w:vAlign w:val="bottom"/>
          </w:tcPr>
          <w:p>
            <w:pPr>
              <w:spacing w:after="0"/>
              <w:rPr>
                <w:sz w:val="1"/>
                <w:szCs w:val="1"/>
                <w:color w:val="auto"/>
              </w:rPr>
            </w:pPr>
          </w:p>
        </w:tc>
      </w:tr>
      <w:tr>
        <w:trPr>
          <w:trHeight w:val="234"/>
        </w:trPr>
        <w:tc>
          <w:tcPr>
            <w:tcW w:w="2980" w:type="dxa"/>
            <w:vAlign w:val="bottom"/>
            <w:tcBorders>
              <w:bottom w:val="single" w:sz="8" w:color="auto"/>
              <w:right w:val="single" w:sz="8" w:color="auto"/>
            </w:tcBorders>
          </w:tcPr>
          <w:p>
            <w:pPr>
              <w:spacing w:after="0"/>
              <w:rPr>
                <w:sz w:val="20"/>
                <w:szCs w:val="20"/>
                <w:color w:val="auto"/>
              </w:rPr>
            </w:pP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and recognized as income over the life of the loan</w:t>
            </w:r>
          </w:p>
        </w:tc>
        <w:tc>
          <w:tcPr>
            <w:tcW w:w="0" w:type="dxa"/>
            <w:vAlign w:val="bottom"/>
          </w:tcPr>
          <w:p>
            <w:pPr>
              <w:spacing w:after="0"/>
              <w:rPr>
                <w:sz w:val="1"/>
                <w:szCs w:val="1"/>
                <w:color w:val="auto"/>
              </w:rPr>
            </w:pPr>
          </w:p>
        </w:tc>
      </w:tr>
      <w:tr>
        <w:trPr>
          <w:trHeight w:val="205"/>
        </w:trPr>
        <w:tc>
          <w:tcPr>
            <w:tcW w:w="2980" w:type="dxa"/>
            <w:vAlign w:val="bottom"/>
            <w:tcBorders>
              <w:left w:val="single" w:sz="8" w:color="C1E5F5"/>
              <w:right w:val="single" w:sz="8" w:color="auto"/>
            </w:tcBorders>
            <w:shd w:val="clear" w:color="auto" w:fill="C1E5F5"/>
          </w:tcPr>
          <w:p>
            <w:pPr>
              <w:ind w:left="20"/>
              <w:spacing w:after="0" w:line="205" w:lineRule="exact"/>
              <w:rPr>
                <w:sz w:val="20"/>
                <w:szCs w:val="20"/>
                <w:color w:val="auto"/>
              </w:rPr>
            </w:pPr>
            <w:r>
              <w:rPr>
                <w:rFonts w:ascii="Times New Roman" w:cs="Times New Roman" w:eastAsia="Times New Roman" w:hAnsi="Times New Roman"/>
                <w:sz w:val="18"/>
                <w:szCs w:val="18"/>
                <w:color w:val="auto"/>
              </w:rPr>
              <w:t>OCCI</w:t>
            </w:r>
          </w:p>
        </w:tc>
        <w:tc>
          <w:tcPr>
            <w:tcW w:w="8320" w:type="dxa"/>
            <w:vAlign w:val="bottom"/>
            <w:tcBorders>
              <w:right w:val="single" w:sz="8" w:color="auto"/>
            </w:tcBorders>
            <w:shd w:val="clear" w:color="auto" w:fill="C1E5F5"/>
          </w:tcPr>
          <w:p>
            <w:pPr>
              <w:spacing w:after="0" w:line="205" w:lineRule="exact"/>
              <w:rPr>
                <w:sz w:val="20"/>
                <w:szCs w:val="20"/>
                <w:color w:val="auto"/>
              </w:rPr>
            </w:pPr>
            <w:r>
              <w:rPr>
                <w:rFonts w:ascii="Times New Roman" w:cs="Times New Roman" w:eastAsia="Times New Roman" w:hAnsi="Times New Roman"/>
                <w:sz w:val="18"/>
                <w:szCs w:val="18"/>
                <w:color w:val="auto"/>
              </w:rPr>
              <w:t>OFS Credit Company, Inc., a Delaware corporation and a non-diversified, closed-end management investment</w:t>
            </w:r>
          </w:p>
        </w:tc>
        <w:tc>
          <w:tcPr>
            <w:tcW w:w="0" w:type="dxa"/>
            <w:vAlign w:val="bottom"/>
          </w:tcPr>
          <w:p>
            <w:pPr>
              <w:spacing w:after="0"/>
              <w:rPr>
                <w:sz w:val="1"/>
                <w:szCs w:val="1"/>
                <w:color w:val="auto"/>
              </w:rPr>
            </w:pPr>
          </w:p>
        </w:tc>
      </w:tr>
      <w:tr>
        <w:trPr>
          <w:trHeight w:val="234"/>
        </w:trPr>
        <w:tc>
          <w:tcPr>
            <w:tcW w:w="2980" w:type="dxa"/>
            <w:vAlign w:val="bottom"/>
            <w:tcBorders>
              <w:left w:val="single" w:sz="8" w:color="C1E5F5"/>
              <w:bottom w:val="single" w:sz="8" w:color="auto"/>
              <w:right w:val="single" w:sz="8" w:color="auto"/>
            </w:tcBorders>
            <w:shd w:val="clear" w:color="auto" w:fill="C1E5F5"/>
          </w:tcPr>
          <w:p>
            <w:pPr>
              <w:spacing w:after="0"/>
              <w:rPr>
                <w:sz w:val="20"/>
                <w:szCs w:val="20"/>
                <w:color w:val="auto"/>
              </w:rPr>
            </w:pP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company, for which OFS Advisor serves as investment adviser</w:t>
            </w:r>
          </w:p>
        </w:tc>
        <w:tc>
          <w:tcPr>
            <w:tcW w:w="0" w:type="dxa"/>
            <w:vAlign w:val="bottom"/>
          </w:tcPr>
          <w:p>
            <w:pPr>
              <w:spacing w:after="0"/>
              <w:rPr>
                <w:sz w:val="1"/>
                <w:szCs w:val="1"/>
                <w:color w:val="auto"/>
              </w:rPr>
            </w:pPr>
          </w:p>
        </w:tc>
      </w:tr>
      <w:tr>
        <w:trPr>
          <w:trHeight w:val="205"/>
        </w:trPr>
        <w:tc>
          <w:tcPr>
            <w:tcW w:w="298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OFS Advisor</w:t>
            </w:r>
          </w:p>
        </w:tc>
        <w:tc>
          <w:tcPr>
            <w:tcW w:w="8320" w:type="dxa"/>
            <w:vAlign w:val="bottom"/>
            <w:tcBorders>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OFS Capital Management, LLC, a wholly owned subsidiary of OFSAM and registered investment adviser under</w:t>
            </w:r>
          </w:p>
        </w:tc>
        <w:tc>
          <w:tcPr>
            <w:tcW w:w="0" w:type="dxa"/>
            <w:vAlign w:val="bottom"/>
          </w:tcPr>
          <w:p>
            <w:pPr>
              <w:spacing w:after="0"/>
              <w:rPr>
                <w:sz w:val="1"/>
                <w:szCs w:val="1"/>
                <w:color w:val="auto"/>
              </w:rPr>
            </w:pPr>
          </w:p>
        </w:tc>
      </w:tr>
      <w:tr>
        <w:trPr>
          <w:trHeight w:val="216"/>
        </w:trPr>
        <w:tc>
          <w:tcPr>
            <w:tcW w:w="2980" w:type="dxa"/>
            <w:vAlign w:val="bottom"/>
            <w:tcBorders>
              <w:right w:val="single" w:sz="8" w:color="auto"/>
            </w:tcBorders>
          </w:tcPr>
          <w:p>
            <w:pPr>
              <w:spacing w:after="0"/>
              <w:rPr>
                <w:sz w:val="18"/>
                <w:szCs w:val="18"/>
                <w:color w:val="auto"/>
              </w:rPr>
            </w:pPr>
          </w:p>
        </w:tc>
        <w:tc>
          <w:tcPr>
            <w:tcW w:w="8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Investment Advisers Act of 1940, as amended, focusing primarily on investments in middle market loans and</w:t>
            </w:r>
          </w:p>
        </w:tc>
        <w:tc>
          <w:tcPr>
            <w:tcW w:w="0" w:type="dxa"/>
            <w:vAlign w:val="bottom"/>
          </w:tcPr>
          <w:p>
            <w:pPr>
              <w:spacing w:after="0"/>
              <w:rPr>
                <w:sz w:val="1"/>
                <w:szCs w:val="1"/>
                <w:color w:val="auto"/>
              </w:rPr>
            </w:pPr>
          </w:p>
        </w:tc>
      </w:tr>
      <w:tr>
        <w:trPr>
          <w:trHeight w:val="234"/>
        </w:trPr>
        <w:tc>
          <w:tcPr>
            <w:tcW w:w="2980" w:type="dxa"/>
            <w:vAlign w:val="bottom"/>
            <w:tcBorders>
              <w:bottom w:val="single" w:sz="8" w:color="auto"/>
              <w:right w:val="single" w:sz="8" w:color="auto"/>
            </w:tcBorders>
          </w:tcPr>
          <w:p>
            <w:pPr>
              <w:spacing w:after="0"/>
              <w:rPr>
                <w:sz w:val="20"/>
                <w:szCs w:val="20"/>
                <w:color w:val="auto"/>
              </w:rPr>
            </w:pP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broadly syndicated loans, debt and equity positions in CLOs and other structured credit investments</w:t>
            </w:r>
          </w:p>
        </w:tc>
        <w:tc>
          <w:tcPr>
            <w:tcW w:w="0" w:type="dxa"/>
            <w:vAlign w:val="bottom"/>
          </w:tcPr>
          <w:p>
            <w:pPr>
              <w:spacing w:after="0"/>
              <w:rPr>
                <w:sz w:val="1"/>
                <w:szCs w:val="1"/>
                <w:color w:val="auto"/>
              </w:rPr>
            </w:pPr>
          </w:p>
        </w:tc>
      </w:tr>
      <w:tr>
        <w:trPr>
          <w:trHeight w:val="223"/>
        </w:trPr>
        <w:tc>
          <w:tcPr>
            <w:tcW w:w="2980" w:type="dxa"/>
            <w:vAlign w:val="bottom"/>
            <w:tcBorders>
              <w:left w:val="single" w:sz="8" w:color="C1E5F5"/>
              <w:bottom w:val="single" w:sz="8" w:color="auto"/>
              <w:right w:val="single" w:sz="8" w:color="auto"/>
            </w:tcBorders>
            <w:shd w:val="clear" w:color="auto" w:fill="C1E5F5"/>
          </w:tcPr>
          <w:p>
            <w:pPr>
              <w:ind w:left="20"/>
              <w:spacing w:after="0"/>
              <w:rPr>
                <w:sz w:val="20"/>
                <w:szCs w:val="20"/>
                <w:color w:val="auto"/>
              </w:rPr>
            </w:pPr>
            <w:r>
              <w:rPr>
                <w:rFonts w:ascii="Times New Roman" w:cs="Times New Roman" w:eastAsia="Times New Roman" w:hAnsi="Times New Roman"/>
                <w:sz w:val="18"/>
                <w:szCs w:val="18"/>
                <w:color w:val="auto"/>
              </w:rPr>
              <w:t>OFS Services</w:t>
            </w: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OFS Capital Services, LLC, a wholly owned subsidiary of OFSAM and affiliate of OFS Advisor</w:t>
            </w:r>
          </w:p>
        </w:tc>
        <w:tc>
          <w:tcPr>
            <w:tcW w:w="0" w:type="dxa"/>
            <w:vAlign w:val="bottom"/>
          </w:tcPr>
          <w:p>
            <w:pPr>
              <w:spacing w:after="0"/>
              <w:rPr>
                <w:sz w:val="1"/>
                <w:szCs w:val="1"/>
                <w:color w:val="auto"/>
              </w:rPr>
            </w:pPr>
          </w:p>
        </w:tc>
      </w:tr>
      <w:tr>
        <w:trPr>
          <w:trHeight w:val="757"/>
        </w:trPr>
        <w:tc>
          <w:tcPr>
            <w:tcW w:w="2980" w:type="dxa"/>
            <w:vAlign w:val="bottom"/>
            <w:tcBorders>
              <w:bottom w:val="single" w:sz="8" w:color="9A9A9A"/>
            </w:tcBorders>
          </w:tcPr>
          <w:p>
            <w:pPr>
              <w:spacing w:after="0"/>
              <w:rPr>
                <w:sz w:val="24"/>
                <w:szCs w:val="24"/>
                <w:color w:val="auto"/>
              </w:rPr>
            </w:pPr>
          </w:p>
        </w:tc>
        <w:tc>
          <w:tcPr>
            <w:tcW w:w="8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80"/>
          </w:cols>
          <w:pgMar w:left="320" w:top="760" w:right="318"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8"/>
        </w:trPr>
        <w:tc>
          <w:tcPr>
            <w:tcW w:w="29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OFSAM</w:t>
            </w:r>
          </w:p>
        </w:tc>
        <w:tc>
          <w:tcPr>
            <w:tcW w:w="83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Orchard First Source Asset Management, LLC, a subsidiary of OFSAM Holdings and a full-service provider of</w:t>
            </w:r>
          </w:p>
        </w:tc>
      </w:tr>
      <w:tr>
        <w:trPr>
          <w:trHeight w:val="256"/>
        </w:trPr>
        <w:tc>
          <w:tcPr>
            <w:tcW w:w="2980" w:type="dxa"/>
            <w:vAlign w:val="bottom"/>
            <w:tcBorders>
              <w:left w:val="single" w:sz="8" w:color="auto"/>
              <w:bottom w:val="single" w:sz="8" w:color="auto"/>
              <w:right w:val="single" w:sz="8" w:color="auto"/>
            </w:tcBorders>
          </w:tcPr>
          <w:p>
            <w:pPr>
              <w:spacing w:after="0"/>
              <w:rPr>
                <w:sz w:val="21"/>
                <w:szCs w:val="21"/>
                <w:color w:val="auto"/>
              </w:rPr>
            </w:pP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capital and leveraged finance solutions to U.S. corporations</w:t>
            </w:r>
          </w:p>
        </w:tc>
      </w:tr>
      <w:tr>
        <w:trPr>
          <w:trHeight w:val="188"/>
        </w:trPr>
        <w:tc>
          <w:tcPr>
            <w:tcW w:w="2980" w:type="dxa"/>
            <w:vAlign w:val="bottom"/>
            <w:tcBorders>
              <w:top w:val="single" w:sz="8" w:color="C1E5F5"/>
              <w:left w:val="single" w:sz="8" w:color="C1E5F5"/>
              <w:right w:val="single" w:sz="8" w:color="auto"/>
            </w:tcBorders>
            <w:shd w:val="clear" w:color="auto" w:fill="C1E5F5"/>
          </w:tcPr>
          <w:p>
            <w:pPr>
              <w:ind w:left="20"/>
              <w:spacing w:after="0" w:line="188" w:lineRule="exact"/>
              <w:rPr>
                <w:sz w:val="20"/>
                <w:szCs w:val="20"/>
                <w:color w:val="auto"/>
              </w:rPr>
            </w:pPr>
            <w:r>
              <w:rPr>
                <w:rFonts w:ascii="Times New Roman" w:cs="Times New Roman" w:eastAsia="Times New Roman" w:hAnsi="Times New Roman"/>
                <w:sz w:val="18"/>
                <w:szCs w:val="18"/>
                <w:color w:val="auto"/>
              </w:rPr>
              <w:t>OFSAM Holdings</w:t>
            </w:r>
          </w:p>
        </w:tc>
        <w:tc>
          <w:tcPr>
            <w:tcW w:w="8320" w:type="dxa"/>
            <w:vAlign w:val="bottom"/>
            <w:tcBorders>
              <w:top w:val="single" w:sz="8" w:color="C1E5F5"/>
              <w:right w:val="single" w:sz="8" w:color="auto"/>
            </w:tcBorders>
            <w:shd w:val="clear" w:color="auto" w:fill="C1E5F5"/>
          </w:tcPr>
          <w:p>
            <w:pPr>
              <w:spacing w:after="0" w:line="188" w:lineRule="exact"/>
              <w:rPr>
                <w:sz w:val="20"/>
                <w:szCs w:val="20"/>
                <w:color w:val="auto"/>
              </w:rPr>
            </w:pPr>
            <w:r>
              <w:rPr>
                <w:rFonts w:ascii="Times New Roman" w:cs="Times New Roman" w:eastAsia="Times New Roman" w:hAnsi="Times New Roman"/>
                <w:sz w:val="18"/>
                <w:szCs w:val="18"/>
                <w:color w:val="auto"/>
              </w:rPr>
              <w:t>Orchard First Source Asset Management Holdings, LLC, a holding company consisting of asset management</w:t>
            </w:r>
          </w:p>
        </w:tc>
      </w:tr>
      <w:tr>
        <w:trPr>
          <w:trHeight w:val="216"/>
        </w:trPr>
        <w:tc>
          <w:tcPr>
            <w:tcW w:w="2980" w:type="dxa"/>
            <w:vAlign w:val="bottom"/>
            <w:tcBorders>
              <w:left w:val="single" w:sz="8" w:color="C1E5F5"/>
              <w:right w:val="single" w:sz="8" w:color="auto"/>
            </w:tcBorders>
            <w:shd w:val="clear" w:color="auto" w:fill="C1E5F5"/>
          </w:tcPr>
          <w:p>
            <w:pPr>
              <w:spacing w:after="0"/>
              <w:rPr>
                <w:sz w:val="18"/>
                <w:szCs w:val="18"/>
                <w:color w:val="auto"/>
              </w:rPr>
            </w:pPr>
          </w:p>
        </w:tc>
        <w:tc>
          <w:tcPr>
            <w:tcW w:w="8320" w:type="dxa"/>
            <w:vAlign w:val="bottom"/>
            <w:tcBorders>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businesses, including OFS Advisor, a registered investment adviser focusing primarily on investments in middle</w:t>
            </w:r>
          </w:p>
        </w:tc>
      </w:tr>
      <w:tr>
        <w:trPr>
          <w:trHeight w:val="216"/>
        </w:trPr>
        <w:tc>
          <w:tcPr>
            <w:tcW w:w="2980" w:type="dxa"/>
            <w:vAlign w:val="bottom"/>
            <w:tcBorders>
              <w:left w:val="single" w:sz="8" w:color="C1E5F5"/>
              <w:right w:val="single" w:sz="8" w:color="auto"/>
            </w:tcBorders>
            <w:shd w:val="clear" w:color="auto" w:fill="C1E5F5"/>
          </w:tcPr>
          <w:p>
            <w:pPr>
              <w:spacing w:after="0"/>
              <w:rPr>
                <w:sz w:val="18"/>
                <w:szCs w:val="18"/>
                <w:color w:val="auto"/>
              </w:rPr>
            </w:pPr>
          </w:p>
        </w:tc>
        <w:tc>
          <w:tcPr>
            <w:tcW w:w="8320" w:type="dxa"/>
            <w:vAlign w:val="bottom"/>
            <w:tcBorders>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market loans and broadly syndicated loans, debt and equity positions in CLOs and other structured credit</w:t>
            </w:r>
          </w:p>
        </w:tc>
      </w:tr>
      <w:tr>
        <w:trPr>
          <w:trHeight w:val="216"/>
        </w:trPr>
        <w:tc>
          <w:tcPr>
            <w:tcW w:w="2980" w:type="dxa"/>
            <w:vAlign w:val="bottom"/>
            <w:tcBorders>
              <w:left w:val="single" w:sz="8" w:color="C1E5F5"/>
              <w:right w:val="single" w:sz="8" w:color="auto"/>
            </w:tcBorders>
            <w:shd w:val="clear" w:color="auto" w:fill="C1E5F5"/>
          </w:tcPr>
          <w:p>
            <w:pPr>
              <w:spacing w:after="0"/>
              <w:rPr>
                <w:sz w:val="18"/>
                <w:szCs w:val="18"/>
                <w:color w:val="auto"/>
              </w:rPr>
            </w:pPr>
          </w:p>
        </w:tc>
        <w:tc>
          <w:tcPr>
            <w:tcW w:w="8320" w:type="dxa"/>
            <w:vAlign w:val="bottom"/>
            <w:tcBorders>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investments, and OFS CLO Management, LLC, OFS CLO Management II, LLC and OFS CLO Management III,</w:t>
            </w:r>
          </w:p>
        </w:tc>
      </w:tr>
      <w:tr>
        <w:trPr>
          <w:trHeight w:val="234"/>
        </w:trPr>
        <w:tc>
          <w:tcPr>
            <w:tcW w:w="2980" w:type="dxa"/>
            <w:vAlign w:val="bottom"/>
            <w:tcBorders>
              <w:left w:val="single" w:sz="8" w:color="C1E5F5"/>
              <w:bottom w:val="single" w:sz="8" w:color="auto"/>
              <w:right w:val="single" w:sz="8" w:color="auto"/>
            </w:tcBorders>
            <w:shd w:val="clear" w:color="auto" w:fill="C1E5F5"/>
          </w:tcPr>
          <w:p>
            <w:pPr>
              <w:spacing w:after="0"/>
              <w:rPr>
                <w:sz w:val="20"/>
                <w:szCs w:val="20"/>
                <w:color w:val="auto"/>
              </w:rPr>
            </w:pP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LLC, each a registered investment adviser focusing primarily on investments in broadly syndicated loans</w:t>
            </w:r>
          </w:p>
        </w:tc>
      </w:tr>
      <w:tr>
        <w:trPr>
          <w:trHeight w:val="223"/>
        </w:trPr>
        <w:tc>
          <w:tcPr>
            <w:tcW w:w="2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OFSCC-FS</w:t>
            </w: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OFSCC-FS, LLC, an indirect wholly owned subsidiary of the Company</w:t>
            </w:r>
          </w:p>
        </w:tc>
      </w:tr>
      <w:tr>
        <w:trPr>
          <w:trHeight w:val="223"/>
        </w:trPr>
        <w:tc>
          <w:tcPr>
            <w:tcW w:w="2980" w:type="dxa"/>
            <w:vAlign w:val="bottom"/>
            <w:tcBorders>
              <w:left w:val="single" w:sz="8" w:color="C1E5F5"/>
              <w:bottom w:val="single" w:sz="8" w:color="auto"/>
              <w:right w:val="single" w:sz="8" w:color="auto"/>
            </w:tcBorders>
            <w:shd w:val="clear" w:color="auto" w:fill="C1E5F5"/>
          </w:tcPr>
          <w:p>
            <w:pPr>
              <w:ind w:left="20"/>
              <w:spacing w:after="0"/>
              <w:rPr>
                <w:sz w:val="20"/>
                <w:szCs w:val="20"/>
                <w:color w:val="auto"/>
              </w:rPr>
            </w:pPr>
            <w:r>
              <w:rPr>
                <w:rFonts w:ascii="Times New Roman" w:cs="Times New Roman" w:eastAsia="Times New Roman" w:hAnsi="Times New Roman"/>
                <w:sz w:val="18"/>
                <w:szCs w:val="18"/>
                <w:color w:val="auto"/>
              </w:rPr>
              <w:t>OFSCC-FS Assets</w:t>
            </w: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Assets held by the Company through OFSCC-FS</w:t>
            </w:r>
          </w:p>
        </w:tc>
      </w:tr>
      <w:tr>
        <w:trPr>
          <w:trHeight w:val="205"/>
        </w:trPr>
        <w:tc>
          <w:tcPr>
            <w:tcW w:w="298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OFSCC-MB</w:t>
            </w:r>
          </w:p>
        </w:tc>
        <w:tc>
          <w:tcPr>
            <w:tcW w:w="8320" w:type="dxa"/>
            <w:vAlign w:val="bottom"/>
            <w:tcBorders>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w w:val="99"/>
              </w:rPr>
              <w:t>OFSCC-MB, Inc., a wholly owned subsidiary taxed under subchapter C of the Code that generally holds the equity</w:t>
            </w:r>
          </w:p>
        </w:tc>
      </w:tr>
      <w:tr>
        <w:trPr>
          <w:trHeight w:val="234"/>
        </w:trPr>
        <w:tc>
          <w:tcPr>
            <w:tcW w:w="2980" w:type="dxa"/>
            <w:vAlign w:val="bottom"/>
            <w:tcBorders>
              <w:bottom w:val="single" w:sz="8" w:color="auto"/>
              <w:right w:val="single" w:sz="8" w:color="auto"/>
            </w:tcBorders>
          </w:tcPr>
          <w:p>
            <w:pPr>
              <w:spacing w:after="0"/>
              <w:rPr>
                <w:sz w:val="20"/>
                <w:szCs w:val="20"/>
                <w:color w:val="auto"/>
              </w:rPr>
            </w:pP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investments of the Company that are taxed as pass-through entities</w:t>
            </w:r>
          </w:p>
        </w:tc>
      </w:tr>
      <w:tr>
        <w:trPr>
          <w:trHeight w:val="223"/>
        </w:trPr>
        <w:tc>
          <w:tcPr>
            <w:tcW w:w="2980" w:type="dxa"/>
            <w:vAlign w:val="bottom"/>
            <w:tcBorders>
              <w:left w:val="single" w:sz="8" w:color="C1E5F5"/>
              <w:bottom w:val="single" w:sz="8" w:color="auto"/>
              <w:right w:val="single" w:sz="8" w:color="auto"/>
            </w:tcBorders>
            <w:shd w:val="clear" w:color="auto" w:fill="C1E5F5"/>
          </w:tcPr>
          <w:p>
            <w:pPr>
              <w:ind w:left="20"/>
              <w:spacing w:after="0"/>
              <w:rPr>
                <w:sz w:val="20"/>
                <w:szCs w:val="20"/>
                <w:color w:val="auto"/>
              </w:rPr>
            </w:pPr>
            <w:r>
              <w:rPr>
                <w:rFonts w:ascii="Times New Roman" w:cs="Times New Roman" w:eastAsia="Times New Roman" w:hAnsi="Times New Roman"/>
                <w:sz w:val="18"/>
                <w:szCs w:val="18"/>
                <w:color w:val="auto"/>
              </w:rPr>
              <w:t>OID</w:t>
            </w: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Original issue discount</w:t>
            </w:r>
          </w:p>
        </w:tc>
      </w:tr>
      <w:tr>
        <w:trPr>
          <w:trHeight w:val="205"/>
        </w:trPr>
        <w:tc>
          <w:tcPr>
            <w:tcW w:w="298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Order</w:t>
            </w:r>
          </w:p>
        </w:tc>
        <w:tc>
          <w:tcPr>
            <w:tcW w:w="8320" w:type="dxa"/>
            <w:vAlign w:val="bottom"/>
            <w:tcBorders>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An exemptive relief order from the SEC to permit us to co-invest in portfolio companies with Affiliated Funds in a</w:t>
            </w:r>
          </w:p>
        </w:tc>
      </w:tr>
      <w:tr>
        <w:trPr>
          <w:trHeight w:val="216"/>
        </w:trPr>
        <w:tc>
          <w:tcPr>
            <w:tcW w:w="2980" w:type="dxa"/>
            <w:vAlign w:val="bottom"/>
            <w:tcBorders>
              <w:right w:val="single" w:sz="8" w:color="auto"/>
            </w:tcBorders>
          </w:tcPr>
          <w:p>
            <w:pPr>
              <w:spacing w:after="0"/>
              <w:rPr>
                <w:sz w:val="18"/>
                <w:szCs w:val="18"/>
                <w:color w:val="auto"/>
              </w:rPr>
            </w:pPr>
          </w:p>
        </w:tc>
        <w:tc>
          <w:tcPr>
            <w:tcW w:w="8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manner consistent with our investment objective, positions, policies, strategies and restrictions as well as</w:t>
            </w:r>
          </w:p>
        </w:tc>
      </w:tr>
      <w:tr>
        <w:trPr>
          <w:trHeight w:val="234"/>
        </w:trPr>
        <w:tc>
          <w:tcPr>
            <w:tcW w:w="2980" w:type="dxa"/>
            <w:vAlign w:val="bottom"/>
            <w:tcBorders>
              <w:bottom w:val="single" w:sz="8" w:color="auto"/>
              <w:right w:val="single" w:sz="8" w:color="auto"/>
            </w:tcBorders>
          </w:tcPr>
          <w:p>
            <w:pPr>
              <w:spacing w:after="0"/>
              <w:rPr>
                <w:sz w:val="20"/>
                <w:szCs w:val="20"/>
                <w:color w:val="auto"/>
              </w:rPr>
            </w:pP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regulatory requirements and other pertinent factors, subject to compliance with certain conditions</w:t>
            </w:r>
          </w:p>
        </w:tc>
      </w:tr>
      <w:tr>
        <w:trPr>
          <w:trHeight w:val="223"/>
        </w:trPr>
        <w:tc>
          <w:tcPr>
            <w:tcW w:w="2980" w:type="dxa"/>
            <w:vAlign w:val="bottom"/>
            <w:tcBorders>
              <w:left w:val="single" w:sz="8" w:color="C1E5F5"/>
              <w:bottom w:val="single" w:sz="8" w:color="auto"/>
              <w:right w:val="single" w:sz="8" w:color="auto"/>
            </w:tcBorders>
            <w:shd w:val="clear" w:color="auto" w:fill="C1E5F5"/>
          </w:tcPr>
          <w:p>
            <w:pPr>
              <w:ind w:left="20"/>
              <w:spacing w:after="0"/>
              <w:rPr>
                <w:sz w:val="20"/>
                <w:szCs w:val="20"/>
                <w:color w:val="auto"/>
              </w:rPr>
            </w:pPr>
            <w:r>
              <w:rPr>
                <w:rFonts w:ascii="Times New Roman" w:cs="Times New Roman" w:eastAsia="Times New Roman" w:hAnsi="Times New Roman"/>
                <w:sz w:val="18"/>
                <w:szCs w:val="18"/>
                <w:color w:val="auto"/>
              </w:rPr>
              <w:t>Parent</w:t>
            </w: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OFS Capital Corporation</w:t>
            </w:r>
          </w:p>
        </w:tc>
      </w:tr>
      <w:tr>
        <w:trPr>
          <w:trHeight w:val="205"/>
        </w:trPr>
        <w:tc>
          <w:tcPr>
            <w:tcW w:w="298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PIK</w:t>
            </w:r>
          </w:p>
        </w:tc>
        <w:tc>
          <w:tcPr>
            <w:tcW w:w="8320" w:type="dxa"/>
            <w:vAlign w:val="bottom"/>
            <w:tcBorders>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Payment-in-kind, non-cash interest or dividends payable as an addition to the loan or equity security producing the</w:t>
            </w:r>
          </w:p>
        </w:tc>
      </w:tr>
      <w:tr>
        <w:trPr>
          <w:trHeight w:val="234"/>
        </w:trPr>
        <w:tc>
          <w:tcPr>
            <w:tcW w:w="2980" w:type="dxa"/>
            <w:vAlign w:val="bottom"/>
            <w:tcBorders>
              <w:bottom w:val="single" w:sz="8" w:color="auto"/>
              <w:right w:val="single" w:sz="8" w:color="auto"/>
            </w:tcBorders>
          </w:tcPr>
          <w:p>
            <w:pPr>
              <w:spacing w:after="0"/>
              <w:rPr>
                <w:sz w:val="20"/>
                <w:szCs w:val="20"/>
                <w:color w:val="auto"/>
              </w:rPr>
            </w:pP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w:t>
            </w:r>
          </w:p>
        </w:tc>
      </w:tr>
      <w:tr>
        <w:trPr>
          <w:trHeight w:val="205"/>
        </w:trPr>
        <w:tc>
          <w:tcPr>
            <w:tcW w:w="2980" w:type="dxa"/>
            <w:vAlign w:val="bottom"/>
            <w:tcBorders>
              <w:left w:val="single" w:sz="8" w:color="C1E5F5"/>
              <w:right w:val="single" w:sz="8" w:color="auto"/>
            </w:tcBorders>
            <w:shd w:val="clear" w:color="auto" w:fill="C1E5F5"/>
          </w:tcPr>
          <w:p>
            <w:pPr>
              <w:ind w:left="20"/>
              <w:spacing w:after="0" w:line="205" w:lineRule="exact"/>
              <w:rPr>
                <w:sz w:val="20"/>
                <w:szCs w:val="20"/>
                <w:color w:val="auto"/>
              </w:rPr>
            </w:pPr>
            <w:r>
              <w:rPr>
                <w:rFonts w:ascii="Times New Roman" w:cs="Times New Roman" w:eastAsia="Times New Roman" w:hAnsi="Times New Roman"/>
                <w:sz w:val="18"/>
                <w:szCs w:val="18"/>
                <w:color w:val="auto"/>
              </w:rPr>
              <w:t>Portfolio Company Investment</w:t>
            </w:r>
          </w:p>
        </w:tc>
        <w:tc>
          <w:tcPr>
            <w:tcW w:w="8320" w:type="dxa"/>
            <w:vAlign w:val="bottom"/>
            <w:tcBorders>
              <w:right w:val="single" w:sz="8" w:color="auto"/>
            </w:tcBorders>
            <w:shd w:val="clear" w:color="auto" w:fill="C1E5F5"/>
          </w:tcPr>
          <w:p>
            <w:pPr>
              <w:spacing w:after="0" w:line="205" w:lineRule="exact"/>
              <w:rPr>
                <w:sz w:val="20"/>
                <w:szCs w:val="20"/>
                <w:color w:val="auto"/>
              </w:rPr>
            </w:pPr>
            <w:r>
              <w:rPr>
                <w:rFonts w:ascii="Times New Roman" w:cs="Times New Roman" w:eastAsia="Times New Roman" w:hAnsi="Times New Roman"/>
                <w:sz w:val="18"/>
                <w:szCs w:val="18"/>
                <w:color w:val="auto"/>
              </w:rPr>
              <w:t>A debt or equity investment in a portfolio company. Portfolio Company Investments exclude Structured Finance</w:t>
            </w:r>
          </w:p>
        </w:tc>
      </w:tr>
      <w:tr>
        <w:trPr>
          <w:trHeight w:val="234"/>
        </w:trPr>
        <w:tc>
          <w:tcPr>
            <w:tcW w:w="2980" w:type="dxa"/>
            <w:vAlign w:val="bottom"/>
            <w:tcBorders>
              <w:left w:val="single" w:sz="8" w:color="C1E5F5"/>
              <w:bottom w:val="single" w:sz="8" w:color="auto"/>
              <w:right w:val="single" w:sz="8" w:color="auto"/>
            </w:tcBorders>
            <w:shd w:val="clear" w:color="auto" w:fill="C1E5F5"/>
          </w:tcPr>
          <w:p>
            <w:pPr>
              <w:spacing w:after="0"/>
              <w:rPr>
                <w:sz w:val="20"/>
                <w:szCs w:val="20"/>
                <w:color w:val="auto"/>
              </w:rPr>
            </w:pP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Securities</w:t>
            </w:r>
          </w:p>
        </w:tc>
      </w:tr>
      <w:tr>
        <w:trPr>
          <w:trHeight w:val="209"/>
        </w:trPr>
        <w:tc>
          <w:tcPr>
            <w:tcW w:w="2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Prime Rate</w:t>
            </w: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Prime interest rate</w:t>
            </w:r>
          </w:p>
        </w:tc>
      </w:tr>
      <w:tr>
        <w:trPr>
          <w:trHeight w:val="223"/>
        </w:trPr>
        <w:tc>
          <w:tcPr>
            <w:tcW w:w="2980" w:type="dxa"/>
            <w:vAlign w:val="bottom"/>
            <w:tcBorders>
              <w:left w:val="single" w:sz="8" w:color="C1E5F5"/>
              <w:bottom w:val="single" w:sz="8" w:color="auto"/>
              <w:right w:val="single" w:sz="8" w:color="auto"/>
            </w:tcBorders>
            <w:shd w:val="clear" w:color="auto" w:fill="C1E5F5"/>
          </w:tcPr>
          <w:p>
            <w:pPr>
              <w:ind w:left="20"/>
              <w:spacing w:after="0"/>
              <w:rPr>
                <w:sz w:val="20"/>
                <w:szCs w:val="20"/>
                <w:color w:val="auto"/>
              </w:rPr>
            </w:pPr>
            <w:r>
              <w:rPr>
                <w:rFonts w:ascii="Times New Roman" w:cs="Times New Roman" w:eastAsia="Times New Roman" w:hAnsi="Times New Roman"/>
                <w:sz w:val="18"/>
                <w:szCs w:val="18"/>
                <w:color w:val="auto"/>
              </w:rPr>
              <w:t>RIC</w:t>
            </w: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Regulated investment company under the Code</w:t>
            </w:r>
          </w:p>
        </w:tc>
      </w:tr>
      <w:tr>
        <w:trPr>
          <w:trHeight w:val="223"/>
        </w:trPr>
        <w:tc>
          <w:tcPr>
            <w:tcW w:w="2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Small Business Administration</w:t>
            </w:r>
          </w:p>
        </w:tc>
      </w:tr>
      <w:tr>
        <w:trPr>
          <w:trHeight w:val="223"/>
        </w:trPr>
        <w:tc>
          <w:tcPr>
            <w:tcW w:w="2980" w:type="dxa"/>
            <w:vAlign w:val="bottom"/>
            <w:tcBorders>
              <w:left w:val="single" w:sz="8" w:color="C1E5F5"/>
              <w:bottom w:val="single" w:sz="8" w:color="auto"/>
              <w:right w:val="single" w:sz="8" w:color="auto"/>
            </w:tcBorders>
            <w:shd w:val="clear" w:color="auto" w:fill="C1E5F5"/>
          </w:tcPr>
          <w:p>
            <w:pPr>
              <w:ind w:left="20"/>
              <w:spacing w:after="0"/>
              <w:rPr>
                <w:sz w:val="20"/>
                <w:szCs w:val="20"/>
                <w:color w:val="auto"/>
              </w:rPr>
            </w:pPr>
            <w:r>
              <w:rPr>
                <w:rFonts w:ascii="Times New Roman" w:cs="Times New Roman" w:eastAsia="Times New Roman" w:hAnsi="Times New Roman"/>
                <w:sz w:val="18"/>
                <w:szCs w:val="18"/>
                <w:color w:val="auto"/>
              </w:rPr>
              <w:t>SBIC</w:t>
            </w: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A fund licensed under the SBA Small Business Investment Company Program</w:t>
            </w:r>
          </w:p>
        </w:tc>
      </w:tr>
      <w:tr>
        <w:trPr>
          <w:trHeight w:val="205"/>
        </w:trPr>
        <w:tc>
          <w:tcPr>
            <w:tcW w:w="298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SBIC I LP</w:t>
            </w:r>
          </w:p>
        </w:tc>
        <w:tc>
          <w:tcPr>
            <w:tcW w:w="8320" w:type="dxa"/>
            <w:vAlign w:val="bottom"/>
            <w:tcBorders>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OFS SBIC I, LP, which was formerly an SBIC and, as of October 5, 2026, is no longer a wholly owned subsidiary</w:t>
            </w:r>
          </w:p>
        </w:tc>
      </w:tr>
      <w:tr>
        <w:trPr>
          <w:trHeight w:val="234"/>
        </w:trPr>
        <w:tc>
          <w:tcPr>
            <w:tcW w:w="2980" w:type="dxa"/>
            <w:vAlign w:val="bottom"/>
            <w:tcBorders>
              <w:bottom w:val="single" w:sz="8" w:color="auto"/>
              <w:right w:val="single" w:sz="8" w:color="auto"/>
            </w:tcBorders>
          </w:tcPr>
          <w:p>
            <w:pPr>
              <w:spacing w:after="0"/>
              <w:rPr>
                <w:sz w:val="20"/>
                <w:szCs w:val="20"/>
                <w:color w:val="auto"/>
              </w:rPr>
            </w:pP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 the Company</w:t>
            </w:r>
          </w:p>
        </w:tc>
      </w:tr>
      <w:tr>
        <w:trPr>
          <w:trHeight w:val="223"/>
        </w:trPr>
        <w:tc>
          <w:tcPr>
            <w:tcW w:w="2980" w:type="dxa"/>
            <w:vAlign w:val="bottom"/>
            <w:tcBorders>
              <w:left w:val="single" w:sz="8" w:color="C1E5F5"/>
              <w:bottom w:val="single" w:sz="8" w:color="auto"/>
              <w:right w:val="single" w:sz="8" w:color="auto"/>
            </w:tcBorders>
            <w:shd w:val="clear" w:color="auto" w:fill="C1E5F5"/>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223"/>
        </w:trPr>
        <w:tc>
          <w:tcPr>
            <w:tcW w:w="2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Securities Act</w:t>
            </w: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Securities Act of 1933, as amended</w:t>
            </w:r>
          </w:p>
        </w:tc>
      </w:tr>
      <w:tr>
        <w:trPr>
          <w:trHeight w:val="223"/>
        </w:trPr>
        <w:tc>
          <w:tcPr>
            <w:tcW w:w="2980" w:type="dxa"/>
            <w:vAlign w:val="bottom"/>
            <w:tcBorders>
              <w:left w:val="single" w:sz="8" w:color="C1E5F5"/>
              <w:bottom w:val="single" w:sz="8" w:color="auto"/>
              <w:right w:val="single" w:sz="8" w:color="auto"/>
            </w:tcBorders>
            <w:shd w:val="clear" w:color="auto" w:fill="C1E5F5"/>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05"/>
        </w:trPr>
        <w:tc>
          <w:tcPr>
            <w:tcW w:w="298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Securities Purchase Agreement</w:t>
            </w:r>
          </w:p>
        </w:tc>
        <w:tc>
          <w:tcPr>
            <w:tcW w:w="8320" w:type="dxa"/>
            <w:vAlign w:val="bottom"/>
            <w:tcBorders>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An agreement between the Company and an institutional accredited investor dated August 8, 2025 in which the</w:t>
            </w:r>
          </w:p>
        </w:tc>
      </w:tr>
      <w:tr>
        <w:trPr>
          <w:trHeight w:val="234"/>
        </w:trPr>
        <w:tc>
          <w:tcPr>
            <w:tcW w:w="2980" w:type="dxa"/>
            <w:vAlign w:val="bottom"/>
            <w:tcBorders>
              <w:bottom w:val="single" w:sz="8" w:color="auto"/>
              <w:right w:val="single" w:sz="8" w:color="auto"/>
            </w:tcBorders>
          </w:tcPr>
          <w:p>
            <w:pPr>
              <w:spacing w:after="0"/>
              <w:rPr>
                <w:sz w:val="20"/>
                <w:szCs w:val="20"/>
                <w:color w:val="auto"/>
              </w:rPr>
            </w:pP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 sold, in a private placement, the Unsecured Note Due August 2029</w:t>
            </w:r>
          </w:p>
        </w:tc>
      </w:tr>
      <w:tr>
        <w:trPr>
          <w:trHeight w:val="205"/>
        </w:trPr>
        <w:tc>
          <w:tcPr>
            <w:tcW w:w="2980" w:type="dxa"/>
            <w:vAlign w:val="bottom"/>
            <w:tcBorders>
              <w:left w:val="single" w:sz="8" w:color="C1E5F5"/>
              <w:right w:val="single" w:sz="8" w:color="auto"/>
            </w:tcBorders>
            <w:shd w:val="clear" w:color="auto" w:fill="C1E5F5"/>
          </w:tcPr>
          <w:p>
            <w:pPr>
              <w:ind w:left="20"/>
              <w:spacing w:after="0" w:line="205" w:lineRule="exact"/>
              <w:rPr>
                <w:sz w:val="20"/>
                <w:szCs w:val="20"/>
                <w:color w:val="auto"/>
              </w:rPr>
            </w:pPr>
            <w:r>
              <w:rPr>
                <w:rFonts w:ascii="Times New Roman" w:cs="Times New Roman" w:eastAsia="Times New Roman" w:hAnsi="Times New Roman"/>
                <w:sz w:val="18"/>
                <w:szCs w:val="18"/>
                <w:color w:val="auto"/>
              </w:rPr>
              <w:t>Stock Repurchase Program</w:t>
            </w:r>
          </w:p>
        </w:tc>
        <w:tc>
          <w:tcPr>
            <w:tcW w:w="8320" w:type="dxa"/>
            <w:vAlign w:val="bottom"/>
            <w:tcBorders>
              <w:right w:val="single" w:sz="8" w:color="auto"/>
            </w:tcBorders>
            <w:shd w:val="clear" w:color="auto" w:fill="C1E5F5"/>
          </w:tcPr>
          <w:p>
            <w:pPr>
              <w:spacing w:after="0" w:line="205" w:lineRule="exact"/>
              <w:rPr>
                <w:sz w:val="20"/>
                <w:szCs w:val="20"/>
                <w:color w:val="auto"/>
              </w:rPr>
            </w:pPr>
            <w:r>
              <w:rPr>
                <w:rFonts w:ascii="Times New Roman" w:cs="Times New Roman" w:eastAsia="Times New Roman" w:hAnsi="Times New Roman"/>
                <w:sz w:val="18"/>
                <w:szCs w:val="18"/>
                <w:color w:val="auto"/>
              </w:rPr>
              <w:t>The open market stock repurchase program for shares of the Company’s common stock under Rule 10b-18 of the</w:t>
            </w:r>
          </w:p>
        </w:tc>
      </w:tr>
      <w:tr>
        <w:trPr>
          <w:trHeight w:val="234"/>
        </w:trPr>
        <w:tc>
          <w:tcPr>
            <w:tcW w:w="2980" w:type="dxa"/>
            <w:vAlign w:val="bottom"/>
            <w:tcBorders>
              <w:left w:val="single" w:sz="8" w:color="C1E5F5"/>
              <w:bottom w:val="single" w:sz="8" w:color="auto"/>
              <w:right w:val="single" w:sz="8" w:color="auto"/>
            </w:tcBorders>
            <w:shd w:val="clear" w:color="auto" w:fill="C1E5F5"/>
          </w:tcPr>
          <w:p>
            <w:pPr>
              <w:spacing w:after="0"/>
              <w:rPr>
                <w:sz w:val="20"/>
                <w:szCs w:val="20"/>
                <w:color w:val="auto"/>
              </w:rPr>
            </w:pP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Exchange Act</w:t>
            </w:r>
          </w:p>
        </w:tc>
      </w:tr>
      <w:tr>
        <w:trPr>
          <w:trHeight w:val="223"/>
        </w:trPr>
        <w:tc>
          <w:tcPr>
            <w:tcW w:w="2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CLO mezzanine debt, CLO subordinated notes and CLO loan accumulation facility securities</w:t>
            </w:r>
          </w:p>
        </w:tc>
      </w:tr>
      <w:tr>
        <w:trPr>
          <w:trHeight w:val="205"/>
        </w:trPr>
        <w:tc>
          <w:tcPr>
            <w:tcW w:w="2980" w:type="dxa"/>
            <w:vAlign w:val="bottom"/>
            <w:tcBorders>
              <w:left w:val="single" w:sz="8" w:color="C1E5F5"/>
              <w:right w:val="single" w:sz="8" w:color="auto"/>
            </w:tcBorders>
            <w:shd w:val="clear" w:color="auto" w:fill="C1E5F5"/>
          </w:tcPr>
          <w:p>
            <w:pPr>
              <w:ind w:left="20"/>
              <w:spacing w:after="0" w:line="205" w:lineRule="exact"/>
              <w:rPr>
                <w:sz w:val="20"/>
                <w:szCs w:val="20"/>
                <w:color w:val="auto"/>
              </w:rPr>
            </w:pPr>
            <w:r>
              <w:rPr>
                <w:rFonts w:ascii="Times New Roman" w:cs="Times New Roman" w:eastAsia="Times New Roman" w:hAnsi="Times New Roman"/>
                <w:sz w:val="18"/>
                <w:szCs w:val="18"/>
                <w:color w:val="auto"/>
              </w:rPr>
              <w:t>Unsecured Notes</w:t>
            </w:r>
          </w:p>
        </w:tc>
        <w:tc>
          <w:tcPr>
            <w:tcW w:w="8320" w:type="dxa"/>
            <w:vAlign w:val="bottom"/>
            <w:tcBorders>
              <w:right w:val="single" w:sz="8" w:color="auto"/>
            </w:tcBorders>
            <w:shd w:val="clear" w:color="auto" w:fill="C1E5F5"/>
          </w:tcPr>
          <w:p>
            <w:pPr>
              <w:spacing w:after="0" w:line="205" w:lineRule="exact"/>
              <w:rPr>
                <w:sz w:val="20"/>
                <w:szCs w:val="20"/>
                <w:color w:val="auto"/>
              </w:rPr>
            </w:pPr>
            <w:r>
              <w:rPr>
                <w:rFonts w:ascii="Times New Roman" w:cs="Times New Roman" w:eastAsia="Times New Roman" w:hAnsi="Times New Roman"/>
                <w:sz w:val="18"/>
                <w:szCs w:val="18"/>
                <w:color w:val="auto"/>
              </w:rPr>
              <w:t>The Unsecured Notes Due July 2028, the Unsecured Notes Due October 2028 and the Unsecured Note Due</w:t>
            </w:r>
          </w:p>
        </w:tc>
      </w:tr>
      <w:tr>
        <w:trPr>
          <w:trHeight w:val="234"/>
        </w:trPr>
        <w:tc>
          <w:tcPr>
            <w:tcW w:w="2980" w:type="dxa"/>
            <w:vAlign w:val="bottom"/>
            <w:tcBorders>
              <w:left w:val="single" w:sz="8" w:color="C1E5F5"/>
              <w:bottom w:val="single" w:sz="8" w:color="auto"/>
              <w:right w:val="single" w:sz="8" w:color="auto"/>
            </w:tcBorders>
            <w:shd w:val="clear" w:color="auto" w:fill="C1E5F5"/>
          </w:tcPr>
          <w:p>
            <w:pPr>
              <w:spacing w:after="0"/>
              <w:rPr>
                <w:sz w:val="20"/>
                <w:szCs w:val="20"/>
                <w:color w:val="auto"/>
              </w:rPr>
            </w:pP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August 2029</w:t>
            </w:r>
          </w:p>
        </w:tc>
      </w:tr>
      <w:tr>
        <w:trPr>
          <w:trHeight w:val="205"/>
        </w:trPr>
        <w:tc>
          <w:tcPr>
            <w:tcW w:w="298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Unsecured Notes Due February 2026</w:t>
            </w:r>
          </w:p>
        </w:tc>
        <w:tc>
          <w:tcPr>
            <w:tcW w:w="8320" w:type="dxa"/>
            <w:vAlign w:val="bottom"/>
            <w:tcBorders>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The Company’s $125.0 million aggregate principal amount of 4.75% notes due February 10, 2026, which were</w:t>
            </w:r>
          </w:p>
        </w:tc>
      </w:tr>
      <w:tr>
        <w:trPr>
          <w:trHeight w:val="216"/>
        </w:trPr>
        <w:tc>
          <w:tcPr>
            <w:tcW w:w="2980" w:type="dxa"/>
            <w:vAlign w:val="bottom"/>
            <w:tcBorders>
              <w:right w:val="single" w:sz="8" w:color="auto"/>
            </w:tcBorders>
          </w:tcPr>
          <w:p>
            <w:pPr>
              <w:spacing w:after="0"/>
              <w:rPr>
                <w:sz w:val="18"/>
                <w:szCs w:val="18"/>
                <w:color w:val="auto"/>
              </w:rPr>
            </w:pPr>
          </w:p>
        </w:tc>
        <w:tc>
          <w:tcPr>
            <w:tcW w:w="8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partially redeemed on each of August 11, 2025, August 21, 2025 and December 30, 2025, and fully redeemed on</w:t>
            </w:r>
          </w:p>
        </w:tc>
      </w:tr>
      <w:tr>
        <w:trPr>
          <w:trHeight w:val="234"/>
        </w:trPr>
        <w:tc>
          <w:tcPr>
            <w:tcW w:w="2980" w:type="dxa"/>
            <w:vAlign w:val="bottom"/>
            <w:tcBorders>
              <w:bottom w:val="single" w:sz="8" w:color="auto"/>
              <w:right w:val="single" w:sz="8" w:color="auto"/>
            </w:tcBorders>
          </w:tcPr>
          <w:p>
            <w:pPr>
              <w:spacing w:after="0"/>
              <w:rPr>
                <w:sz w:val="20"/>
                <w:szCs w:val="20"/>
                <w:color w:val="auto"/>
              </w:rPr>
            </w:pP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9, 2026</w:t>
            </w:r>
          </w:p>
        </w:tc>
      </w:tr>
      <w:tr>
        <w:trPr>
          <w:trHeight w:val="205"/>
        </w:trPr>
        <w:tc>
          <w:tcPr>
            <w:tcW w:w="2980" w:type="dxa"/>
            <w:vAlign w:val="bottom"/>
            <w:tcBorders>
              <w:left w:val="single" w:sz="8" w:color="C1E5F5"/>
              <w:right w:val="single" w:sz="8" w:color="auto"/>
            </w:tcBorders>
            <w:shd w:val="clear" w:color="auto" w:fill="C1E5F5"/>
          </w:tcPr>
          <w:p>
            <w:pPr>
              <w:ind w:left="20"/>
              <w:spacing w:after="0" w:line="205" w:lineRule="exact"/>
              <w:rPr>
                <w:sz w:val="20"/>
                <w:szCs w:val="20"/>
                <w:color w:val="auto"/>
              </w:rPr>
            </w:pPr>
            <w:r>
              <w:rPr>
                <w:rFonts w:ascii="Times New Roman" w:cs="Times New Roman" w:eastAsia="Times New Roman" w:hAnsi="Times New Roman"/>
                <w:sz w:val="18"/>
                <w:szCs w:val="18"/>
                <w:color w:val="auto"/>
              </w:rPr>
              <w:t>Unsecured Notes Due July 2028</w:t>
            </w:r>
          </w:p>
        </w:tc>
        <w:tc>
          <w:tcPr>
            <w:tcW w:w="8320" w:type="dxa"/>
            <w:vAlign w:val="bottom"/>
            <w:tcBorders>
              <w:right w:val="single" w:sz="8" w:color="auto"/>
            </w:tcBorders>
            <w:shd w:val="clear" w:color="auto" w:fill="C1E5F5"/>
          </w:tcPr>
          <w:p>
            <w:pPr>
              <w:spacing w:after="0" w:line="205" w:lineRule="exact"/>
              <w:rPr>
                <w:sz w:val="20"/>
                <w:szCs w:val="20"/>
                <w:color w:val="auto"/>
              </w:rPr>
            </w:pPr>
            <w:r>
              <w:rPr>
                <w:rFonts w:ascii="Times New Roman" w:cs="Times New Roman" w:eastAsia="Times New Roman" w:hAnsi="Times New Roman"/>
                <w:sz w:val="18"/>
                <w:szCs w:val="18"/>
                <w:color w:val="auto"/>
              </w:rPr>
              <w:t>The Company’s $69.0 million original aggregate principal amount of 7.50% notes due July 31, 2028, which were</w:t>
            </w:r>
          </w:p>
        </w:tc>
      </w:tr>
      <w:tr>
        <w:trPr>
          <w:trHeight w:val="234"/>
        </w:trPr>
        <w:tc>
          <w:tcPr>
            <w:tcW w:w="2980" w:type="dxa"/>
            <w:vAlign w:val="bottom"/>
            <w:tcBorders>
              <w:left w:val="single" w:sz="8" w:color="C1E5F5"/>
              <w:bottom w:val="single" w:sz="8" w:color="auto"/>
              <w:right w:val="single" w:sz="8" w:color="auto"/>
            </w:tcBorders>
            <w:shd w:val="clear" w:color="auto" w:fill="C1E5F5"/>
          </w:tcPr>
          <w:p>
            <w:pPr>
              <w:spacing w:after="0"/>
              <w:rPr>
                <w:sz w:val="20"/>
                <w:szCs w:val="20"/>
                <w:color w:val="auto"/>
              </w:rPr>
            </w:pP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partially redeemed on September 29, 2026</w:t>
            </w:r>
          </w:p>
        </w:tc>
      </w:tr>
      <w:tr>
        <w:trPr>
          <w:trHeight w:val="223"/>
        </w:trPr>
        <w:tc>
          <w:tcPr>
            <w:tcW w:w="2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Unsecured Notes Due October 2028</w:t>
            </w:r>
          </w:p>
        </w:tc>
        <w:tc>
          <w:tcPr>
            <w:tcW w:w="8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Company’s $55.0 million aggregate principal amount of 4.95% notes due October 31, 2028</w:t>
            </w:r>
          </w:p>
        </w:tc>
      </w:tr>
      <w:tr>
        <w:trPr>
          <w:trHeight w:val="223"/>
        </w:trPr>
        <w:tc>
          <w:tcPr>
            <w:tcW w:w="2980" w:type="dxa"/>
            <w:vAlign w:val="bottom"/>
            <w:tcBorders>
              <w:left w:val="single" w:sz="8" w:color="C1E5F5"/>
              <w:bottom w:val="single" w:sz="8" w:color="auto"/>
              <w:right w:val="single" w:sz="8" w:color="auto"/>
            </w:tcBorders>
            <w:shd w:val="clear" w:color="auto" w:fill="C1E5F5"/>
          </w:tcPr>
          <w:p>
            <w:pPr>
              <w:ind w:left="20"/>
              <w:spacing w:after="0"/>
              <w:rPr>
                <w:sz w:val="20"/>
                <w:szCs w:val="20"/>
                <w:color w:val="auto"/>
              </w:rPr>
            </w:pPr>
            <w:r>
              <w:rPr>
                <w:rFonts w:ascii="Times New Roman" w:cs="Times New Roman" w:eastAsia="Times New Roman" w:hAnsi="Times New Roman"/>
                <w:sz w:val="18"/>
                <w:szCs w:val="18"/>
                <w:color w:val="auto"/>
              </w:rPr>
              <w:t>Unsecured Note Due August 2029</w:t>
            </w:r>
          </w:p>
        </w:tc>
        <w:tc>
          <w:tcPr>
            <w:tcW w:w="8320" w:type="dxa"/>
            <w:vAlign w:val="bottom"/>
            <w:tcBorders>
              <w:bottom w:val="single" w:sz="8" w:color="auto"/>
              <w:right w:val="single" w:sz="8" w:color="auto"/>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The Company’s $25.0 million principal amount 8.00% note due August 8, 2029</w:t>
            </w:r>
          </w:p>
        </w:tc>
      </w:tr>
      <w:tr>
        <w:trPr>
          <w:trHeight w:val="757"/>
        </w:trPr>
        <w:tc>
          <w:tcPr>
            <w:tcW w:w="2980" w:type="dxa"/>
            <w:vAlign w:val="bottom"/>
            <w:tcBorders>
              <w:bottom w:val="single" w:sz="8" w:color="9A9A9A"/>
            </w:tcBorders>
          </w:tcPr>
          <w:p>
            <w:pPr>
              <w:spacing w:after="0"/>
              <w:rPr>
                <w:sz w:val="24"/>
                <w:szCs w:val="24"/>
                <w:color w:val="auto"/>
              </w:rPr>
            </w:pPr>
          </w:p>
        </w:tc>
        <w:tc>
          <w:tcPr>
            <w:tcW w:w="8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80"/>
          </w:cols>
          <w:pgMar w:left="320" w:top="786" w:right="318"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751"/>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81" w:lineRule="exact"/>
        <w:rPr>
          <w:sz w:val="20"/>
          <w:szCs w:val="20"/>
          <w:color w:val="auto"/>
        </w:rPr>
      </w:pPr>
    </w:p>
    <w:p>
      <w:pPr>
        <w:ind w:left="1120" w:hanging="376"/>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experience operating a BDC or maintaining our tax treatment as a RIC under Subchapter M of the Code;</w:t>
      </w:r>
    </w:p>
    <w:p>
      <w:pPr>
        <w:spacing w:after="0" w:line="117" w:lineRule="exact"/>
        <w:rPr>
          <w:rFonts w:ascii="Times New Roman" w:cs="Times New Roman" w:eastAsia="Times New Roman" w:hAnsi="Times New Roman"/>
          <w:sz w:val="18"/>
          <w:szCs w:val="18"/>
          <w:color w:val="auto"/>
        </w:rPr>
      </w:pPr>
    </w:p>
    <w:p>
      <w:pPr>
        <w:ind w:left="1120" w:hanging="376"/>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key personnel;</w:t>
      </w:r>
    </w:p>
    <w:p>
      <w:pPr>
        <w:spacing w:after="0" w:line="117" w:lineRule="exact"/>
        <w:rPr>
          <w:rFonts w:ascii="Times New Roman" w:cs="Times New Roman" w:eastAsia="Times New Roman" w:hAnsi="Times New Roman"/>
          <w:sz w:val="18"/>
          <w:szCs w:val="18"/>
          <w:color w:val="auto"/>
        </w:rPr>
      </w:pPr>
    </w:p>
    <w:p>
      <w:pPr>
        <w:ind w:left="1120" w:hanging="376"/>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develop referral relationships;</w:t>
      </w:r>
    </w:p>
    <w:p>
      <w:pPr>
        <w:spacing w:after="0" w:line="117" w:lineRule="exact"/>
        <w:rPr>
          <w:rFonts w:ascii="Times New Roman" w:cs="Times New Roman" w:eastAsia="Times New Roman" w:hAnsi="Times New Roman"/>
          <w:sz w:val="18"/>
          <w:szCs w:val="18"/>
          <w:color w:val="auto"/>
        </w:rPr>
      </w:pPr>
    </w:p>
    <w:p>
      <w:pPr>
        <w:ind w:left="1120" w:hanging="376"/>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replicate historical results;</w:t>
      </w:r>
    </w:p>
    <w:p>
      <w:pPr>
        <w:spacing w:after="0" w:line="117" w:lineRule="exact"/>
        <w:rPr>
          <w:rFonts w:ascii="Times New Roman" w:cs="Times New Roman" w:eastAsia="Times New Roman" w:hAnsi="Times New Roman"/>
          <w:sz w:val="18"/>
          <w:szCs w:val="18"/>
          <w:color w:val="auto"/>
        </w:rPr>
      </w:pPr>
    </w:p>
    <w:p>
      <w:pPr>
        <w:ind w:left="1120" w:hanging="376"/>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OFS Advisor to identify, invest in and monitor companies that meet our investment criteria;</w:t>
      </w:r>
    </w:p>
    <w:p>
      <w:pPr>
        <w:spacing w:after="0" w:line="117" w:lineRule="exact"/>
        <w:rPr>
          <w:rFonts w:ascii="Times New Roman" w:cs="Times New Roman" w:eastAsia="Times New Roman" w:hAnsi="Times New Roman"/>
          <w:sz w:val="18"/>
          <w:szCs w:val="18"/>
          <w:color w:val="auto"/>
        </w:rPr>
      </w:pPr>
    </w:p>
    <w:p>
      <w:pPr>
        <w:ind w:left="1120" w:right="140" w:hanging="376"/>
        <w:spacing w:after="0" w:line="26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the carrying amounts of our financial instruments, such as cash, cash equivalents, receivables and payables approximate the fair value of such items due to the short maturity of such instruments and that such financial instruments are held with high credit quality institutions to mitigate the risk of loss due to credit risk;</w:t>
      </w:r>
    </w:p>
    <w:p>
      <w:pPr>
        <w:spacing w:after="0" w:line="67" w:lineRule="exact"/>
        <w:rPr>
          <w:rFonts w:ascii="Times New Roman" w:cs="Times New Roman" w:eastAsia="Times New Roman" w:hAnsi="Times New Roman"/>
          <w:sz w:val="18"/>
          <w:szCs w:val="18"/>
          <w:color w:val="auto"/>
        </w:rPr>
      </w:pPr>
    </w:p>
    <w:p>
      <w:pPr>
        <w:ind w:left="1120" w:hanging="376"/>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potential conflicts of interest with OFS Advisor and other affiliates of OFSAM Holdings;</w:t>
      </w:r>
    </w:p>
    <w:p>
      <w:pPr>
        <w:spacing w:after="0" w:line="117" w:lineRule="exact"/>
        <w:rPr>
          <w:rFonts w:ascii="Times New Roman" w:cs="Times New Roman" w:eastAsia="Times New Roman" w:hAnsi="Times New Roman"/>
          <w:sz w:val="18"/>
          <w:szCs w:val="18"/>
          <w:color w:val="auto"/>
        </w:rPr>
      </w:pPr>
    </w:p>
    <w:p>
      <w:pPr>
        <w:ind w:left="1120" w:hanging="376"/>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constraint on investment due to access to material nonpublic information;</w:t>
      </w:r>
    </w:p>
    <w:p>
      <w:pPr>
        <w:spacing w:after="0" w:line="117" w:lineRule="exact"/>
        <w:rPr>
          <w:rFonts w:ascii="Times New Roman" w:cs="Times New Roman" w:eastAsia="Times New Roman" w:hAnsi="Times New Roman"/>
          <w:sz w:val="18"/>
          <w:szCs w:val="18"/>
          <w:color w:val="auto"/>
        </w:rPr>
      </w:pPr>
    </w:p>
    <w:p>
      <w:pPr>
        <w:ind w:left="1120" w:hanging="376"/>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enter into transactions with our affiliates;</w:t>
      </w:r>
    </w:p>
    <w:p>
      <w:pPr>
        <w:spacing w:after="0" w:line="117" w:lineRule="exact"/>
        <w:rPr>
          <w:rFonts w:ascii="Times New Roman" w:cs="Times New Roman" w:eastAsia="Times New Roman" w:hAnsi="Times New Roman"/>
          <w:sz w:val="18"/>
          <w:szCs w:val="18"/>
          <w:color w:val="auto"/>
        </w:rPr>
      </w:pPr>
    </w:p>
    <w:p>
      <w:pPr>
        <w:ind w:left="1120" w:hanging="376"/>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borrowed money to finance a portion of our investments;</w:t>
      </w:r>
    </w:p>
    <w:p>
      <w:pPr>
        <w:spacing w:after="0" w:line="117" w:lineRule="exact"/>
        <w:rPr>
          <w:rFonts w:ascii="Times New Roman" w:cs="Times New Roman" w:eastAsia="Times New Roman" w:hAnsi="Times New Roman"/>
          <w:sz w:val="18"/>
          <w:szCs w:val="18"/>
          <w:color w:val="auto"/>
        </w:rPr>
      </w:pPr>
    </w:p>
    <w:p>
      <w:pPr>
        <w:ind w:left="1120" w:right="140" w:hanging="376"/>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incur additional leverage pursuant to Section 61(a)(2) of the 1940 Act and the impact of such leverage on our net investment income and results of operations;</w:t>
      </w:r>
    </w:p>
    <w:p>
      <w:pPr>
        <w:spacing w:after="0" w:line="53" w:lineRule="exact"/>
        <w:rPr>
          <w:rFonts w:ascii="Times New Roman" w:cs="Times New Roman" w:eastAsia="Times New Roman" w:hAnsi="Times New Roman"/>
          <w:sz w:val="18"/>
          <w:szCs w:val="18"/>
          <w:color w:val="auto"/>
        </w:rPr>
      </w:pPr>
    </w:p>
    <w:p>
      <w:pPr>
        <w:ind w:left="1120" w:hanging="376"/>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investment opportunities;</w:t>
      </w:r>
    </w:p>
    <w:p>
      <w:pPr>
        <w:spacing w:after="0" w:line="117" w:lineRule="exact"/>
        <w:rPr>
          <w:rFonts w:ascii="Times New Roman" w:cs="Times New Roman" w:eastAsia="Times New Roman" w:hAnsi="Times New Roman"/>
          <w:sz w:val="18"/>
          <w:szCs w:val="18"/>
          <w:color w:val="auto"/>
        </w:rPr>
      </w:pPr>
    </w:p>
    <w:p>
      <w:pPr>
        <w:ind w:left="1120" w:right="160" w:hanging="376"/>
        <w:spacing w:after="0" w:line="274" w:lineRule="auto"/>
        <w:tabs>
          <w:tab w:leader="none" w:pos="11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belief that the seniority of our debt investments in a borrower’s capital structure may provide greater downside protection against adverse economic changes, including those caused by the impacts of interest rate changes and elevated inflation rates, the ongoing war between Russia and Ukraine, the escalated armed conflict and heightened regional tensions in the Middle East, activity in South America, instability in the U.S. and international banking systems, the agenda of the U.S. presidential administration, including the impact of tariff enactment and tax reductions, trade disputes with other countries, the risk of recession or the impact of the prolonged shutdown of U.S. government services, and related market volatility on our business, our portfolio companies, our industry and the global economy;</w:t>
      </w:r>
    </w:p>
    <w:p>
      <w:pPr>
        <w:spacing w:after="0" w:line="64" w:lineRule="exact"/>
        <w:rPr>
          <w:rFonts w:ascii="Times New Roman" w:cs="Times New Roman" w:eastAsia="Times New Roman" w:hAnsi="Times New Roman"/>
          <w:sz w:val="17"/>
          <w:szCs w:val="17"/>
          <w:color w:val="auto"/>
        </w:rPr>
      </w:pPr>
    </w:p>
    <w:p>
      <w:pPr>
        <w:ind w:left="1120" w:hanging="376"/>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investments that will bear interest on a floating rate or fixed rate basis;</w:t>
      </w:r>
    </w:p>
    <w:p>
      <w:pPr>
        <w:spacing w:after="0" w:line="117" w:lineRule="exact"/>
        <w:rPr>
          <w:rFonts w:ascii="Times New Roman" w:cs="Times New Roman" w:eastAsia="Times New Roman" w:hAnsi="Times New Roman"/>
          <w:sz w:val="18"/>
          <w:szCs w:val="18"/>
          <w:color w:val="auto"/>
        </w:rPr>
      </w:pPr>
    </w:p>
    <w:p>
      <w:pPr>
        <w:ind w:left="1120" w:hanging="376"/>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our investments;</w:t>
      </w:r>
    </w:p>
    <w:p>
      <w:pPr>
        <w:spacing w:after="0" w:line="117" w:lineRule="exact"/>
        <w:rPr>
          <w:rFonts w:ascii="Times New Roman" w:cs="Times New Roman" w:eastAsia="Times New Roman" w:hAnsi="Times New Roman"/>
          <w:sz w:val="18"/>
          <w:szCs w:val="18"/>
          <w:color w:val="auto"/>
        </w:rPr>
      </w:pPr>
    </w:p>
    <w:p>
      <w:pPr>
        <w:ind w:left="1120" w:right="180" w:hanging="376"/>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alternative reference rates on our business, including potential additional interest rate changes approved by the U.S. Federal Reserve, which may impact our investment income, cost of funding and the valuation of our investments;</w:t>
      </w:r>
    </w:p>
    <w:p>
      <w:pPr>
        <w:spacing w:after="0" w:line="53" w:lineRule="exact"/>
        <w:rPr>
          <w:rFonts w:ascii="Times New Roman" w:cs="Times New Roman" w:eastAsia="Times New Roman" w:hAnsi="Times New Roman"/>
          <w:sz w:val="18"/>
          <w:szCs w:val="18"/>
          <w:color w:val="auto"/>
        </w:rPr>
      </w:pPr>
    </w:p>
    <w:p>
      <w:pPr>
        <w:ind w:left="1120" w:hanging="376"/>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debt or equity capital as a BDC;</w:t>
      </w:r>
    </w:p>
    <w:p>
      <w:pPr>
        <w:spacing w:after="0" w:line="117" w:lineRule="exact"/>
        <w:rPr>
          <w:rFonts w:ascii="Times New Roman" w:cs="Times New Roman" w:eastAsia="Times New Roman" w:hAnsi="Times New Roman"/>
          <w:sz w:val="18"/>
          <w:szCs w:val="18"/>
          <w:color w:val="auto"/>
        </w:rPr>
      </w:pPr>
    </w:p>
    <w:p>
      <w:pPr>
        <w:ind w:left="1120" w:hanging="376"/>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form and amount of any distributions from our portfolio companies;</w:t>
      </w:r>
    </w:p>
    <w:p>
      <w:pPr>
        <w:spacing w:after="0" w:line="117" w:lineRule="exact"/>
        <w:rPr>
          <w:rFonts w:ascii="Times New Roman" w:cs="Times New Roman" w:eastAsia="Times New Roman" w:hAnsi="Times New Roman"/>
          <w:sz w:val="18"/>
          <w:szCs w:val="18"/>
          <w:color w:val="auto"/>
        </w:rPr>
      </w:pPr>
    </w:p>
    <w:p>
      <w:pPr>
        <w:ind w:left="1120" w:hanging="376"/>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protracted decline in the liquidity of credit markets on our business;</w:t>
      </w:r>
    </w:p>
    <w:p>
      <w:pPr>
        <w:spacing w:after="0" w:line="117" w:lineRule="exact"/>
        <w:rPr>
          <w:rFonts w:ascii="Times New Roman" w:cs="Times New Roman" w:eastAsia="Times New Roman" w:hAnsi="Times New Roman"/>
          <w:sz w:val="18"/>
          <w:szCs w:val="18"/>
          <w:color w:val="auto"/>
        </w:rPr>
      </w:pPr>
    </w:p>
    <w:p>
      <w:pPr>
        <w:ind w:left="1120" w:hanging="376"/>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economy and its impact on the industries in which we invest;</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00"/>
          </w:cols>
          <w:pgMar w:left="340" w:top="976" w:right="378" w:bottom="1440" w:gutter="0" w:footer="0" w:header="0"/>
        </w:sectPr>
      </w:pPr>
    </w:p>
    <w:bookmarkStart w:id="5" w:name="page6"/>
    <w:bookmarkEnd w:id="5"/>
    <w:p>
      <w:pPr>
        <w:ind w:left="1120" w:right="160" w:hanging="376"/>
        <w:spacing w:after="0" w:line="261"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political, economic and industry conditions, including changes in the interest rate environment, inflation, significant market volatility, supply chain and labor market disruptions, including those as a result of strikes, work stoppages or accidents, resource shortages and other conditions affecting the financial and capital markets, which, in turn, impacts our business prospects and the prospects of our portfolio companies;</w:t>
      </w:r>
    </w:p>
    <w:p>
      <w:pPr>
        <w:spacing w:after="0" w:line="71" w:lineRule="exact"/>
        <w:rPr>
          <w:rFonts w:ascii="Times New Roman" w:cs="Times New Roman" w:eastAsia="Times New Roman" w:hAnsi="Times New Roman"/>
          <w:sz w:val="18"/>
          <w:szCs w:val="18"/>
          <w:color w:val="auto"/>
        </w:rPr>
      </w:pPr>
    </w:p>
    <w:p>
      <w:pPr>
        <w:ind w:left="1120" w:right="480" w:hanging="376"/>
        <w:spacing w:after="0" w:line="282"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uncertainty surrounding the financial and political stability of the United States, the United Kingdom, the Middle East, the European Union, South America and China;</w:t>
      </w:r>
    </w:p>
    <w:p>
      <w:pPr>
        <w:spacing w:after="0" w:line="53" w:lineRule="exact"/>
        <w:rPr>
          <w:rFonts w:ascii="Times New Roman" w:cs="Times New Roman" w:eastAsia="Times New Roman" w:hAnsi="Times New Roman"/>
          <w:sz w:val="18"/>
          <w:szCs w:val="18"/>
          <w:color w:val="auto"/>
        </w:rPr>
      </w:pPr>
    </w:p>
    <w:p>
      <w:pPr>
        <w:ind w:left="1120" w:hanging="376"/>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credit facilities in the future on commercially reasonable terms, if at all;</w:t>
      </w:r>
    </w:p>
    <w:p>
      <w:pPr>
        <w:spacing w:after="0" w:line="117" w:lineRule="exact"/>
        <w:rPr>
          <w:rFonts w:ascii="Times New Roman" w:cs="Times New Roman" w:eastAsia="Times New Roman" w:hAnsi="Times New Roman"/>
          <w:sz w:val="18"/>
          <w:szCs w:val="18"/>
          <w:color w:val="auto"/>
        </w:rPr>
      </w:pPr>
    </w:p>
    <w:p>
      <w:pPr>
        <w:ind w:left="1120" w:hanging="376"/>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we have sufficient levels of liquidity to support our existing portfolio companies;</w:t>
      </w:r>
    </w:p>
    <w:p>
      <w:pPr>
        <w:spacing w:after="0" w:line="117" w:lineRule="exact"/>
        <w:rPr>
          <w:rFonts w:ascii="Times New Roman" w:cs="Times New Roman" w:eastAsia="Times New Roman" w:hAnsi="Times New Roman"/>
          <w:sz w:val="18"/>
          <w:szCs w:val="18"/>
          <w:color w:val="auto"/>
        </w:rPr>
      </w:pPr>
    </w:p>
    <w:p>
      <w:pPr>
        <w:ind w:left="1120" w:hanging="376"/>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our cash and cash equivalent balances are not exposed to any significant credit risk;</w:t>
      </w:r>
    </w:p>
    <w:p>
      <w:pPr>
        <w:spacing w:after="0" w:line="117" w:lineRule="exact"/>
        <w:rPr>
          <w:rFonts w:ascii="Times New Roman" w:cs="Times New Roman" w:eastAsia="Times New Roman" w:hAnsi="Times New Roman"/>
          <w:sz w:val="18"/>
          <w:szCs w:val="18"/>
          <w:color w:val="auto"/>
        </w:rPr>
      </w:pPr>
    </w:p>
    <w:p>
      <w:pPr>
        <w:ind w:left="1120" w:right="200" w:hanging="376"/>
        <w:spacing w:after="0" w:line="282"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information technology system failures, data security breaches, data privacy compliance, network disruptions, cybersecurity attacks and the increasing use of artificial intelligence and machine learning technology;</w:t>
      </w:r>
    </w:p>
    <w:p>
      <w:pPr>
        <w:spacing w:after="0" w:line="53" w:lineRule="exact"/>
        <w:rPr>
          <w:rFonts w:ascii="Times New Roman" w:cs="Times New Roman" w:eastAsia="Times New Roman" w:hAnsi="Times New Roman"/>
          <w:sz w:val="18"/>
          <w:szCs w:val="18"/>
          <w:color w:val="auto"/>
        </w:rPr>
      </w:pPr>
    </w:p>
    <w:p>
      <w:pPr>
        <w:ind w:left="1120" w:hanging="376"/>
        <w:spacing w:after="0" w:line="282"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and availability of additional capital on favorable terms to finance growth given our expectation to distribute substantially all of our net ordinary income and net realized capital gains to our stockholders;</w:t>
      </w:r>
    </w:p>
    <w:p>
      <w:pPr>
        <w:spacing w:after="0" w:line="53" w:lineRule="exact"/>
        <w:rPr>
          <w:rFonts w:ascii="Times New Roman" w:cs="Times New Roman" w:eastAsia="Times New Roman" w:hAnsi="Times New Roman"/>
          <w:sz w:val="18"/>
          <w:szCs w:val="18"/>
          <w:color w:val="auto"/>
        </w:rPr>
      </w:pPr>
    </w:p>
    <w:p>
      <w:pPr>
        <w:ind w:left="1120" w:right="240" w:hanging="376"/>
        <w:spacing w:after="0" w:line="282"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fluctuation of the fair value of our investments due to the inherent uncertainty of determining the fair value of investments that do not have a readily available market value; and</w:t>
      </w:r>
    </w:p>
    <w:p>
      <w:pPr>
        <w:spacing w:after="0" w:line="53" w:lineRule="exact"/>
        <w:rPr>
          <w:rFonts w:ascii="Times New Roman" w:cs="Times New Roman" w:eastAsia="Times New Roman" w:hAnsi="Times New Roman"/>
          <w:sz w:val="18"/>
          <w:szCs w:val="18"/>
          <w:color w:val="auto"/>
        </w:rPr>
      </w:pPr>
    </w:p>
    <w:p>
      <w:pPr>
        <w:ind w:left="1120" w:hanging="376"/>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new or modified laws or regulations, including accounting pronouncements and rule issuances, governing our operations.</w:t>
      </w:r>
    </w:p>
    <w:p>
      <w:pPr>
        <w:spacing w:after="0" w:line="117" w:lineRule="exact"/>
        <w:rPr>
          <w:sz w:val="20"/>
          <w:szCs w:val="20"/>
          <w:color w:val="auto"/>
        </w:rPr>
      </w:pPr>
    </w:p>
    <w:p>
      <w:pPr>
        <w:ind w:right="140" w:firstLine="751"/>
        <w:spacing w:after="0" w:line="256"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among others, those described or identified in “Part I—Item 1A. Risk Factors” in our Annual Report on Form 10-K for the year ended December 31, 2025, filed on March 3, 2026. You should not place undue reliance on these forward-looking statements, which apply only as of the date of this Quarterly Report on Form 10-Q.</w:t>
      </w:r>
    </w:p>
    <w:p>
      <w:pPr>
        <w:spacing w:after="0" w:line="79" w:lineRule="exact"/>
        <w:rPr>
          <w:sz w:val="20"/>
          <w:szCs w:val="20"/>
          <w:color w:val="auto"/>
        </w:rPr>
      </w:pPr>
    </w:p>
    <w:p>
      <w:pPr>
        <w:ind w:right="140" w:firstLine="751"/>
        <w:spacing w:after="0" w:line="256" w:lineRule="auto"/>
        <w:rPr>
          <w:sz w:val="20"/>
          <w:szCs w:val="20"/>
          <w:color w:val="auto"/>
        </w:rPr>
      </w:pPr>
      <w:r>
        <w:rPr>
          <w:rFonts w:ascii="Times New Roman" w:cs="Times New Roman" w:eastAsia="Times New Roman" w:hAnsi="Times New Roman"/>
          <w:sz w:val="18"/>
          <w:szCs w:val="18"/>
          <w:color w:val="auto"/>
        </w:rPr>
        <w:t>We have based the forward-looking statements on information available to us on the date of this Quarterly Report on Form 10-Q. Except as required by the federal securities laws,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 The forward-looking statements and projections contained in this Quarterly Report on Form 10-Q are excluded from the safe harbor protection provided by Section 21E of the Exchange Act.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088" w:right="338"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Assets and Liabilities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Investments, at fair value:</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Non-control/non-affiliate investments (amortized cost of $205,003 and $300,748,</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respectively)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141,976</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242,070</w:t>
            </w:r>
          </w:p>
        </w:tc>
        <w:tc>
          <w:tcPr>
            <w:tcW w:w="100" w:type="dxa"/>
            <w:vAlign w:val="bottom"/>
            <w:shd w:val="clear" w:color="auto" w:fill="CFF0FC"/>
          </w:tcPr>
          <w:p>
            <w:pPr>
              <w:spacing w:after="0"/>
              <w:rPr>
                <w:sz w:val="18"/>
                <w:szCs w:val="18"/>
                <w:color w:val="auto"/>
              </w:rPr>
            </w:pPr>
          </w:p>
        </w:tc>
      </w:tr>
      <w:tr>
        <w:trPr>
          <w:trHeight w:val="21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Affiliate investments (amortized cost of $29,167 and $27,652, respectively)</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110,171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99,945</w:t>
            </w:r>
          </w:p>
        </w:tc>
        <w:tc>
          <w:tcPr>
            <w:tcW w:w="100" w:type="dxa"/>
            <w:vAlign w:val="bottom"/>
          </w:tcPr>
          <w:p>
            <w:pPr>
              <w:spacing w:after="0"/>
              <w:rPr>
                <w:sz w:val="18"/>
                <w:szCs w:val="18"/>
                <w:color w:val="auto"/>
              </w:rPr>
            </w:pPr>
          </w:p>
        </w:tc>
      </w:tr>
      <w:tr>
        <w:trPr>
          <w:trHeight w:val="212"/>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investments, at fair value (amortized cost of $234,170 and $328,400, respectively)</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252,147</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342,015</w:t>
            </w:r>
          </w:p>
        </w:tc>
        <w:tc>
          <w:tcPr>
            <w:tcW w:w="100" w:type="dxa"/>
            <w:vAlign w:val="bottom"/>
            <w:shd w:val="clear" w:color="auto" w:fill="CFF0FC"/>
          </w:tcPr>
          <w:p>
            <w:pPr>
              <w:spacing w:after="0"/>
              <w:rPr>
                <w:sz w:val="18"/>
                <w:szCs w:val="18"/>
                <w:color w:val="auto"/>
              </w:rPr>
            </w:pPr>
          </w:p>
        </w:tc>
      </w:tr>
      <w:tr>
        <w:trPr>
          <w:trHeight w:val="21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100" w:type="dxa"/>
            <w:vAlign w:val="bottom"/>
          </w:tcPr>
          <w:p>
            <w:pPr>
              <w:spacing w:after="0"/>
              <w:rPr>
                <w:sz w:val="18"/>
                <w:szCs w:val="18"/>
                <w:color w:val="auto"/>
              </w:rPr>
            </w:pPr>
          </w:p>
        </w:tc>
      </w:tr>
      <w:tr>
        <w:trPr>
          <w:trHeight w:val="21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and dividends receivable</w:t>
            </w: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shd w:val="clear" w:color="auto" w:fill="CFF0FC"/>
          </w:tcPr>
          <w:p>
            <w:pPr>
              <w:spacing w:after="0"/>
              <w:rPr>
                <w:sz w:val="19"/>
                <w:szCs w:val="19"/>
                <w:color w:val="auto"/>
              </w:rPr>
            </w:pPr>
          </w:p>
        </w:tc>
      </w:tr>
      <w:tr>
        <w:trPr>
          <w:trHeight w:val="21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Receivable for investments sold</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1"/>
        </w:trPr>
        <w:tc>
          <w:tcPr>
            <w:tcW w:w="7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260,909</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346,706</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7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Revolving lines of credit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25,400</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55,450</w:t>
            </w:r>
          </w:p>
        </w:tc>
        <w:tc>
          <w:tcPr>
            <w:tcW w:w="100" w:type="dxa"/>
            <w:vAlign w:val="bottom"/>
          </w:tcPr>
          <w:p>
            <w:pPr>
              <w:spacing w:after="0"/>
              <w:rPr>
                <w:sz w:val="18"/>
                <w:szCs w:val="18"/>
                <w:color w:val="auto"/>
              </w:rPr>
            </w:pPr>
          </w:p>
        </w:tc>
      </w:tr>
      <w:tr>
        <w:trPr>
          <w:trHeight w:val="21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Unsecured Notes (net of deferred debt issuance costs of $1,752 and $2,812, respectively)</w:t>
            </w: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127,248</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162,188</w:t>
            </w:r>
          </w:p>
        </w:tc>
        <w:tc>
          <w:tcPr>
            <w:tcW w:w="100" w:type="dxa"/>
            <w:vAlign w:val="bottom"/>
            <w:shd w:val="clear" w:color="auto" w:fill="CFF0FC"/>
          </w:tcPr>
          <w:p>
            <w:pPr>
              <w:spacing w:after="0"/>
              <w:rPr>
                <w:sz w:val="19"/>
                <w:szCs w:val="19"/>
                <w:color w:val="auto"/>
              </w:rPr>
            </w:pPr>
          </w:p>
        </w:tc>
      </w:tr>
      <w:tr>
        <w:trPr>
          <w:trHeight w:val="21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Interest payable</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100" w:type="dxa"/>
            <w:vAlign w:val="bottom"/>
          </w:tcPr>
          <w:p>
            <w:pPr>
              <w:spacing w:after="0"/>
              <w:rPr>
                <w:sz w:val="18"/>
                <w:szCs w:val="18"/>
                <w:color w:val="auto"/>
              </w:rPr>
            </w:pPr>
          </w:p>
        </w:tc>
      </w:tr>
      <w:tr>
        <w:trPr>
          <w:trHeight w:val="21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Distribution payable</w:t>
            </w: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Payable to adviser and affiliates (Note 3)</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Payable for investments purchased</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100" w:type="dxa"/>
            <w:vAlign w:val="bottom"/>
          </w:tcPr>
          <w:p>
            <w:pPr>
              <w:spacing w:after="0"/>
              <w:rPr>
                <w:sz w:val="18"/>
                <w:szCs w:val="18"/>
                <w:color w:val="auto"/>
              </w:rPr>
            </w:pPr>
          </w:p>
        </w:tc>
      </w:tr>
      <w:tr>
        <w:trPr>
          <w:trHeight w:val="211"/>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162,080</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223,518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1"/>
        </w:trPr>
        <w:tc>
          <w:tcPr>
            <w:tcW w:w="7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6)</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2"/>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par value of $0.01 per share, 2,000,000 shares authorized, -0- shares</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issued and outstanding as of September 30, 2026 and December 31, 2025,</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respectively</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Common stock, par value of $0.01 per share, 100,000,000 shares authorized,</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13,398,078 shares issued and outstanding as of September 30, 2026 and</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December 31, 2025, respectively</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FF0FC"/>
          </w:tcPr>
          <w:p>
            <w:pPr>
              <w:spacing w:after="0"/>
              <w:rPr>
                <w:sz w:val="18"/>
                <w:szCs w:val="18"/>
                <w:color w:val="auto"/>
              </w:rPr>
            </w:pPr>
          </w:p>
        </w:tc>
      </w:tr>
      <w:tr>
        <w:trPr>
          <w:trHeight w:val="21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Paid-in capital in excess of par</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174,195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accumulated losses</w:t>
            </w:r>
          </w:p>
        </w:tc>
        <w:tc>
          <w:tcPr>
            <w:tcW w:w="1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(75,500)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(51,141)</w:t>
            </w:r>
          </w:p>
        </w:tc>
      </w:tr>
      <w:tr>
        <w:trPr>
          <w:trHeight w:val="20"/>
        </w:trPr>
        <w:tc>
          <w:tcPr>
            <w:tcW w:w="77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1"/>
        </w:trPr>
        <w:tc>
          <w:tcPr>
            <w:tcW w:w="7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net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98,829</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123,188</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7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4"/>
        </w:trPr>
        <w:tc>
          <w:tcPr>
            <w:tcW w:w="7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net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260,909</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346,706</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7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Number of common shares outstanding</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13,398,078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13,398,078</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asset value per share</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5901690</wp:posOffset>
            </wp:positionH>
            <wp:positionV relativeFrom="paragraph">
              <wp:posOffset>-4097020</wp:posOffset>
            </wp:positionV>
            <wp:extent cx="6858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-4097020</wp:posOffset>
            </wp:positionV>
            <wp:extent cx="6858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-2553970</wp:posOffset>
            </wp:positionV>
            <wp:extent cx="6858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-2553970</wp:posOffset>
            </wp:positionV>
            <wp:extent cx="6858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-933450</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-933450</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-24765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-7620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-24765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Consolidated Financial Statements (unaudited).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321945</wp:posOffset>
            </wp:positionV>
            <wp:extent cx="71831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976" w:right="318"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tcPr>
          <w:p>
            <w:pPr>
              <w:spacing w:after="0"/>
              <w:rPr>
                <w:sz w:val="17"/>
                <w:szCs w:val="17"/>
                <w:color w:val="auto"/>
              </w:rPr>
            </w:pPr>
          </w:p>
        </w:tc>
        <w:tc>
          <w:tcPr>
            <w:tcW w:w="2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15"/>
        </w:trPr>
        <w:tc>
          <w:tcPr>
            <w:tcW w:w="6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30,</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30,</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6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211"/>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Investment income</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Non-control/non-affiliate investments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9,125</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18,812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28,326</w:t>
            </w:r>
          </w:p>
        </w:tc>
        <w:tc>
          <w:tcPr>
            <w:tcW w:w="100" w:type="dxa"/>
            <w:vAlign w:val="bottom"/>
            <w:shd w:val="clear" w:color="auto" w:fill="CFF0FC"/>
          </w:tcPr>
          <w:p>
            <w:pPr>
              <w:spacing w:after="0"/>
              <w:rPr>
                <w:sz w:val="19"/>
                <w:szCs w:val="19"/>
                <w:color w:val="auto"/>
              </w:rPr>
            </w:pPr>
          </w:p>
        </w:tc>
      </w:tr>
      <w:tr>
        <w:trPr>
          <w:trHeight w:val="213"/>
        </w:trPr>
        <w:tc>
          <w:tcPr>
            <w:tcW w:w="6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Affiliate investments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interest income</w:t>
            </w: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5,205</w:t>
            </w: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9,125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18,829</w:t>
            </w: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28,326</w:t>
            </w:r>
          </w:p>
        </w:tc>
        <w:tc>
          <w:tcPr>
            <w:tcW w:w="100" w:type="dxa"/>
            <w:vAlign w:val="bottom"/>
            <w:shd w:val="clear" w:color="auto" w:fill="CFF0FC"/>
          </w:tcPr>
          <w:p>
            <w:pPr>
              <w:spacing w:after="0"/>
              <w:rPr>
                <w:sz w:val="18"/>
                <w:szCs w:val="18"/>
                <w:color w:val="auto"/>
              </w:rPr>
            </w:pPr>
          </w:p>
        </w:tc>
      </w:tr>
      <w:tr>
        <w:trPr>
          <w:trHeight w:val="213"/>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Payment-in-kind interest and dividend income: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Non-control/non-affiliate investments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00" w:type="dxa"/>
            <w:vAlign w:val="bottom"/>
            <w:shd w:val="clear" w:color="auto" w:fill="CFF0FC"/>
          </w:tcPr>
          <w:p>
            <w:pPr>
              <w:spacing w:after="0"/>
              <w:rPr>
                <w:sz w:val="19"/>
                <w:szCs w:val="19"/>
                <w:color w:val="auto"/>
              </w:rPr>
            </w:pPr>
          </w:p>
        </w:tc>
      </w:tr>
      <w:tr>
        <w:trPr>
          <w:trHeight w:val="210"/>
        </w:trPr>
        <w:tc>
          <w:tcPr>
            <w:tcW w:w="6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Affiliate investments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tcPr>
          <w:p>
            <w:pPr>
              <w:spacing w:after="0"/>
              <w:rPr>
                <w:sz w:val="18"/>
                <w:szCs w:val="18"/>
                <w:color w:val="auto"/>
              </w:rPr>
            </w:pPr>
          </w:p>
        </w:tc>
      </w:tr>
      <w:tr>
        <w:trPr>
          <w:trHeight w:val="202"/>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payment-in-kind interest and dividend income</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2,140</w:t>
            </w:r>
          </w:p>
        </w:tc>
        <w:tc>
          <w:tcPr>
            <w:tcW w:w="100" w:type="dxa"/>
            <w:vAlign w:val="bottom"/>
            <w:shd w:val="clear" w:color="auto" w:fill="CFF0FC"/>
          </w:tcPr>
          <w:p>
            <w:pPr>
              <w:spacing w:after="0"/>
              <w:rPr>
                <w:sz w:val="17"/>
                <w:szCs w:val="17"/>
                <w:color w:val="auto"/>
              </w:rPr>
            </w:pPr>
          </w:p>
        </w:tc>
      </w:tr>
      <w:tr>
        <w:trPr>
          <w:trHeight w:val="213"/>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Dividend income: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Non-control/non-affiliate investments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FF0FC"/>
          </w:tcPr>
          <w:p>
            <w:pPr>
              <w:spacing w:after="0"/>
              <w:rPr>
                <w:sz w:val="19"/>
                <w:szCs w:val="19"/>
                <w:color w:val="auto"/>
              </w:rPr>
            </w:pPr>
          </w:p>
        </w:tc>
      </w:tr>
      <w:tr>
        <w:trPr>
          <w:trHeight w:val="213"/>
        </w:trPr>
        <w:tc>
          <w:tcPr>
            <w:tcW w:w="6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Affiliate investments</w:t>
            </w: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8"/>
                <w:szCs w:val="18"/>
                <w:color w:val="auto"/>
              </w:rPr>
            </w:pPr>
          </w:p>
        </w:tc>
      </w:tr>
      <w:tr>
        <w:trPr>
          <w:trHeight w:val="212"/>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dividend income</w:t>
            </w: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shd w:val="clear" w:color="auto" w:fill="CFF0FC"/>
          </w:tcPr>
          <w:p>
            <w:pPr>
              <w:spacing w:after="0"/>
              <w:rPr>
                <w:sz w:val="18"/>
                <w:szCs w:val="18"/>
                <w:color w:val="auto"/>
              </w:rPr>
            </w:pPr>
          </w:p>
        </w:tc>
      </w:tr>
      <w:tr>
        <w:trPr>
          <w:trHeight w:val="213"/>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Fee income: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Non-control/non-affiliate investments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FF0FC"/>
          </w:tcPr>
          <w:p>
            <w:pPr>
              <w:spacing w:after="0"/>
              <w:rPr>
                <w:sz w:val="19"/>
                <w:szCs w:val="19"/>
                <w:color w:val="auto"/>
              </w:rPr>
            </w:pPr>
          </w:p>
        </w:tc>
      </w:tr>
      <w:tr>
        <w:trPr>
          <w:trHeight w:val="213"/>
        </w:trPr>
        <w:tc>
          <w:tcPr>
            <w:tcW w:w="6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Affiliate investments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fee income</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1"/>
        </w:trPr>
        <w:tc>
          <w:tcPr>
            <w:tcW w:w="61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5,938</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21,679</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31,322</w:t>
            </w:r>
          </w:p>
        </w:tc>
        <w:tc>
          <w:tcPr>
            <w:tcW w:w="100" w:type="dxa"/>
            <w:vAlign w:val="bottom"/>
          </w:tcPr>
          <w:p>
            <w:pPr>
              <w:spacing w:after="0"/>
              <w:rPr>
                <w:sz w:val="18"/>
                <w:szCs w:val="18"/>
                <w:color w:val="auto"/>
              </w:rPr>
            </w:pPr>
          </w:p>
        </w:tc>
      </w:tr>
      <w:tr>
        <w:trPr>
          <w:trHeight w:val="211"/>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6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12,242</w:t>
            </w:r>
          </w:p>
        </w:tc>
        <w:tc>
          <w:tcPr>
            <w:tcW w:w="100" w:type="dxa"/>
            <w:vAlign w:val="bottom"/>
          </w:tcPr>
          <w:p>
            <w:pPr>
              <w:spacing w:after="0"/>
              <w:rPr>
                <w:sz w:val="18"/>
                <w:szCs w:val="18"/>
                <w:color w:val="auto"/>
              </w:rPr>
            </w:pPr>
          </w:p>
        </w:tc>
      </w:tr>
      <w:tr>
        <w:trPr>
          <w:trHeight w:val="219"/>
        </w:trPr>
        <w:tc>
          <w:tcPr>
            <w:tcW w:w="6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Base management fee</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4,438</w:t>
            </w:r>
          </w:p>
        </w:tc>
        <w:tc>
          <w:tcPr>
            <w:tcW w:w="100" w:type="dxa"/>
            <w:vAlign w:val="bottom"/>
            <w:shd w:val="clear" w:color="auto" w:fill="CFF0FC"/>
          </w:tcPr>
          <w:p>
            <w:pPr>
              <w:spacing w:after="0"/>
              <w:rPr>
                <w:sz w:val="19"/>
                <w:szCs w:val="19"/>
                <w:color w:val="auto"/>
              </w:rPr>
            </w:pPr>
          </w:p>
        </w:tc>
      </w:tr>
      <w:tr>
        <w:trPr>
          <w:trHeight w:val="213"/>
        </w:trPr>
        <w:tc>
          <w:tcPr>
            <w:tcW w:w="6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Incentive Fee</w:t>
            </w: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100" w:type="dxa"/>
            <w:vAlign w:val="bottom"/>
          </w:tcPr>
          <w:p>
            <w:pPr>
              <w:spacing w:after="0"/>
              <w:rPr>
                <w:sz w:val="18"/>
                <w:szCs w:val="18"/>
                <w:color w:val="auto"/>
              </w:rPr>
            </w:pPr>
          </w:p>
        </w:tc>
      </w:tr>
      <w:tr>
        <w:trPr>
          <w:trHeight w:val="219"/>
        </w:trPr>
        <w:tc>
          <w:tcPr>
            <w:tcW w:w="6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Professional fees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00" w:type="dxa"/>
            <w:vAlign w:val="bottom"/>
            <w:shd w:val="clear" w:color="auto" w:fill="CFF0FC"/>
          </w:tcPr>
          <w:p>
            <w:pPr>
              <w:spacing w:after="0"/>
              <w:rPr>
                <w:sz w:val="19"/>
                <w:szCs w:val="19"/>
                <w:color w:val="auto"/>
              </w:rPr>
            </w:pPr>
          </w:p>
        </w:tc>
      </w:tr>
      <w:tr>
        <w:trPr>
          <w:trHeight w:val="213"/>
        </w:trPr>
        <w:tc>
          <w:tcPr>
            <w:tcW w:w="6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Administration fee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expenses</w:t>
            </w: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expenses before base management fee waiver</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21,634</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Base management fee waiver (see Note 3)</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(173)</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(596)</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12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expenses, net of base management fee waiver</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5,219</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7,611</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17,488</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21,634</w:t>
            </w:r>
          </w:p>
        </w:tc>
        <w:tc>
          <w:tcPr>
            <w:tcW w:w="100" w:type="dxa"/>
            <w:vAlign w:val="bottom"/>
            <w:tcBorders>
              <w:top w:val="single" w:sz="8" w:color="CFF0FC"/>
            </w:tcBorders>
          </w:tcPr>
          <w:p>
            <w:pPr>
              <w:spacing w:after="0"/>
              <w:rPr>
                <w:sz w:val="18"/>
                <w:szCs w:val="18"/>
                <w:color w:val="auto"/>
              </w:rPr>
            </w:pPr>
          </w:p>
        </w:tc>
      </w:tr>
      <w:tr>
        <w:trPr>
          <w:trHeight w:val="211"/>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investment income</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9,688</w:t>
            </w:r>
          </w:p>
        </w:tc>
        <w:tc>
          <w:tcPr>
            <w:tcW w:w="100" w:type="dxa"/>
            <w:vAlign w:val="bottom"/>
            <w:shd w:val="clear" w:color="auto" w:fill="CFF0FC"/>
          </w:tcPr>
          <w:p>
            <w:pPr>
              <w:spacing w:after="0"/>
              <w:rPr>
                <w:sz w:val="18"/>
                <w:szCs w:val="18"/>
                <w:color w:val="auto"/>
              </w:rPr>
            </w:pPr>
          </w:p>
        </w:tc>
      </w:tr>
      <w:tr>
        <w:trPr>
          <w:trHeight w:val="214"/>
        </w:trPr>
        <w:tc>
          <w:tcPr>
            <w:tcW w:w="6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realized and unrealized gain (loss) on investments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6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realized loss on non-control/non-affiliate investments</w:t>
            </w:r>
          </w:p>
        </w:tc>
        <w:tc>
          <w:tcPr>
            <w:tcW w:w="2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(7,824)</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(4,647)</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(25,143)</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(11,425)</w:t>
            </w:r>
          </w:p>
        </w:tc>
      </w:tr>
      <w:tr>
        <w:trPr>
          <w:trHeight w:val="213"/>
        </w:trPr>
        <w:tc>
          <w:tcPr>
            <w:tcW w:w="6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tax benefit on net realized loss on investments</w:t>
            </w: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r>
      <w:tr>
        <w:trPr>
          <w:trHeight w:val="219"/>
        </w:trPr>
        <w:tc>
          <w:tcPr>
            <w:tcW w:w="6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unrealized appreciation (depreciation) on non-control/non-affiliate investments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(4,348)</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(6,609)</w:t>
            </w:r>
          </w:p>
        </w:tc>
      </w:tr>
      <w:tr>
        <w:trPr>
          <w:trHeight w:val="213"/>
        </w:trPr>
        <w:tc>
          <w:tcPr>
            <w:tcW w:w="6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unrealized appreciation (depreciation) on affiliate investments</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(6,156)</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(13,374)</w:t>
            </w:r>
          </w:p>
        </w:tc>
      </w:tr>
      <w:tr>
        <w:trPr>
          <w:trHeight w:val="216"/>
        </w:trPr>
        <w:tc>
          <w:tcPr>
            <w:tcW w:w="6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Deferred tax expense on net unrealized appreciation</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(149)</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(497)</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w:t>
            </w:r>
          </w:p>
        </w:tc>
      </w:tr>
      <w:tr>
        <w:trPr>
          <w:trHeight w:val="20"/>
        </w:trPr>
        <w:tc>
          <w:tcPr>
            <w:tcW w:w="6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1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Net loss on investments</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(11,914)</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(7,775)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(21,277)</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(31,441)</w:t>
            </w:r>
          </w:p>
        </w:tc>
      </w:tr>
      <w:tr>
        <w:trPr>
          <w:trHeight w:val="208"/>
        </w:trPr>
        <w:tc>
          <w:tcPr>
            <w:tcW w:w="61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decrease in net assets resulting from operations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(11,505)</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(5,327)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(17,526)</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(22,245)</w:t>
            </w:r>
          </w:p>
        </w:tc>
      </w:tr>
      <w:tr>
        <w:trPr>
          <w:trHeight w:val="20"/>
        </w:trPr>
        <w:tc>
          <w:tcPr>
            <w:tcW w:w="6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per common share – basic and diluted</w:t>
            </w: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weighted-average common shares outstanding</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13,398,078</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13,398,078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13,398,078</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13,398,078</w:t>
            </w:r>
          </w:p>
        </w:tc>
        <w:tc>
          <w:tcPr>
            <w:tcW w:w="100" w:type="dxa"/>
            <w:vAlign w:val="bottom"/>
          </w:tcPr>
          <w:p>
            <w:pPr>
              <w:spacing w:after="0"/>
              <w:rPr>
                <w:sz w:val="17"/>
                <w:szCs w:val="17"/>
                <w:color w:val="auto"/>
              </w:rPr>
            </w:pPr>
          </w:p>
        </w:tc>
      </w:tr>
      <w:tr>
        <w:trPr>
          <w:trHeight w:val="20"/>
        </w:trPr>
        <w:tc>
          <w:tcPr>
            <w:tcW w:w="6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4581525</wp:posOffset>
            </wp:positionH>
            <wp:positionV relativeFrom="paragraph">
              <wp:posOffset>-3291205</wp:posOffset>
            </wp:positionV>
            <wp:extent cx="6858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5413375</wp:posOffset>
            </wp:positionH>
            <wp:positionV relativeFrom="paragraph">
              <wp:posOffset>-3291205</wp:posOffset>
            </wp:positionV>
            <wp:extent cx="685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6244590</wp:posOffset>
            </wp:positionH>
            <wp:positionV relativeFrom="paragraph">
              <wp:posOffset>-3291205</wp:posOffset>
            </wp:positionV>
            <wp:extent cx="7747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-3291205</wp:posOffset>
            </wp:positionV>
            <wp:extent cx="6858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4581525</wp:posOffset>
            </wp:positionH>
            <wp:positionV relativeFrom="paragraph">
              <wp:posOffset>-2176780</wp:posOffset>
            </wp:positionV>
            <wp:extent cx="6858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5413375</wp:posOffset>
            </wp:positionH>
            <wp:positionV relativeFrom="paragraph">
              <wp:posOffset>-2176780</wp:posOffset>
            </wp:positionV>
            <wp:extent cx="6858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6244590</wp:posOffset>
            </wp:positionH>
            <wp:positionV relativeFrom="paragraph">
              <wp:posOffset>-2176780</wp:posOffset>
            </wp:positionV>
            <wp:extent cx="7747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-2176780</wp:posOffset>
            </wp:positionV>
            <wp:extent cx="6858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4581525</wp:posOffset>
            </wp:positionH>
            <wp:positionV relativeFrom="paragraph">
              <wp:posOffset>-1894205</wp:posOffset>
            </wp:positionV>
            <wp:extent cx="6858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5413375</wp:posOffset>
            </wp:positionH>
            <wp:positionV relativeFrom="paragraph">
              <wp:posOffset>-1894205</wp:posOffset>
            </wp:positionV>
            <wp:extent cx="6858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6244590</wp:posOffset>
            </wp:positionH>
            <wp:positionV relativeFrom="paragraph">
              <wp:posOffset>-1894205</wp:posOffset>
            </wp:positionV>
            <wp:extent cx="7747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-1894205</wp:posOffset>
            </wp:positionV>
            <wp:extent cx="6858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4581525</wp:posOffset>
            </wp:positionH>
            <wp:positionV relativeFrom="paragraph">
              <wp:posOffset>-187960</wp:posOffset>
            </wp:positionV>
            <wp:extent cx="257175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71750" cy="18859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Consolidated Financial Statements (unaudited).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976" w:right="318"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80" w:type="dxa"/>
            <w:vAlign w:val="bottom"/>
          </w:tcPr>
          <w:p>
            <w:pPr>
              <w:spacing w:after="0"/>
              <w:rPr>
                <w:sz w:val="18"/>
                <w:szCs w:val="18"/>
                <w:color w:val="auto"/>
              </w:rPr>
            </w:pPr>
          </w:p>
        </w:tc>
        <w:tc>
          <w:tcPr>
            <w:tcW w:w="16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capital in</w:t>
            </w:r>
          </w:p>
        </w:tc>
        <w:tc>
          <w:tcPr>
            <w:tcW w:w="100" w:type="dxa"/>
            <w:vAlign w:val="bottom"/>
          </w:tcPr>
          <w:p>
            <w:pPr>
              <w:spacing w:after="0"/>
              <w:rPr>
                <w:sz w:val="17"/>
                <w:szCs w:val="17"/>
                <w:color w:val="auto"/>
              </w:rPr>
            </w:pPr>
          </w:p>
        </w:tc>
        <w:tc>
          <w:tcPr>
            <w:tcW w:w="90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Par</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Par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excess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 net</w:t>
            </w:r>
          </w:p>
        </w:tc>
        <w:tc>
          <w:tcPr>
            <w:tcW w:w="0" w:type="dxa"/>
            <w:vAlign w:val="bottom"/>
          </w:tcPr>
          <w:p>
            <w:pPr>
              <w:spacing w:after="0"/>
              <w:rPr>
                <w:sz w:val="1"/>
                <w:szCs w:val="1"/>
                <w:color w:val="auto"/>
              </w:rPr>
            </w:pPr>
          </w:p>
        </w:tc>
      </w:tr>
      <w:tr>
        <w:trPr>
          <w:trHeight w:val="215"/>
        </w:trPr>
        <w:tc>
          <w:tcPr>
            <w:tcW w:w="4180" w:type="dxa"/>
            <w:vAlign w:val="bottom"/>
          </w:tcPr>
          <w:p>
            <w:pPr>
              <w:spacing w:after="0"/>
              <w:rPr>
                <w:sz w:val="18"/>
                <w:szCs w:val="18"/>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par</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losses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9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2024</w:t>
            </w: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13,398,07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184,912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(12,821)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172,225</w:t>
            </w:r>
          </w:p>
        </w:tc>
        <w:tc>
          <w:tcPr>
            <w:tcW w:w="0" w:type="dxa"/>
            <w:vAlign w:val="bottom"/>
          </w:tcPr>
          <w:p>
            <w:pPr>
              <w:spacing w:after="0"/>
              <w:rPr>
                <w:sz w:val="1"/>
                <w:szCs w:val="1"/>
                <w:color w:val="auto"/>
              </w:rPr>
            </w:pPr>
          </w:p>
        </w:tc>
      </w:tr>
      <w:tr>
        <w:trPr>
          <w:trHeight w:val="21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net assets resulting from operations: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Net investment income</w:t>
            </w: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9,688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9,688</w:t>
            </w:r>
          </w:p>
        </w:tc>
        <w:tc>
          <w:tcPr>
            <w:tcW w:w="0" w:type="dxa"/>
            <w:vAlign w:val="bottom"/>
          </w:tcPr>
          <w:p>
            <w:pPr>
              <w:spacing w:after="0"/>
              <w:rPr>
                <w:sz w:val="1"/>
                <w:szCs w:val="1"/>
                <w:color w:val="auto"/>
              </w:rPr>
            </w:pPr>
          </w:p>
        </w:tc>
      </w:tr>
      <w:tr>
        <w:trPr>
          <w:trHeight w:val="213"/>
        </w:trPr>
        <w:tc>
          <w:tcPr>
            <w:tcW w:w="4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realized loss on investments, net of taxes</w:t>
            </w:r>
          </w:p>
        </w:tc>
        <w:tc>
          <w:tcPr>
            <w:tcW w:w="9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(11,424)</w:t>
            </w:r>
          </w:p>
        </w:tc>
        <w:tc>
          <w:tcPr>
            <w:tcW w:w="0" w:type="dxa"/>
            <w:vAlign w:val="bottom"/>
          </w:tcPr>
          <w:p>
            <w:pPr>
              <w:spacing w:after="0"/>
              <w:rPr>
                <w:sz w:val="1"/>
                <w:szCs w:val="1"/>
                <w:color w:val="auto"/>
              </w:rPr>
            </w:pPr>
          </w:p>
        </w:tc>
      </w:tr>
      <w:tr>
        <w:trPr>
          <w:trHeight w:val="205"/>
        </w:trPr>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Net unrealized depreciation on investments, net of deferred</w:t>
            </w: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taxes</w:t>
            </w: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(20,017)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(20,017)</w:t>
            </w:r>
          </w:p>
        </w:tc>
        <w:tc>
          <w:tcPr>
            <w:tcW w:w="0" w:type="dxa"/>
            <w:vAlign w:val="bottom"/>
          </w:tcPr>
          <w:p>
            <w:pPr>
              <w:spacing w:after="0"/>
              <w:rPr>
                <w:sz w:val="1"/>
                <w:szCs w:val="1"/>
                <w:color w:val="auto"/>
              </w:rPr>
            </w:pPr>
          </w:p>
        </w:tc>
      </w:tr>
      <w:tr>
        <w:trPr>
          <w:trHeight w:val="213"/>
        </w:trPr>
        <w:tc>
          <w:tcPr>
            <w:tcW w:w="4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9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Distributions declared</w:t>
            </w:r>
          </w:p>
        </w:tc>
        <w:tc>
          <w:tcPr>
            <w:tcW w:w="9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(13,666)</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(13,666)</w:t>
            </w:r>
          </w:p>
        </w:tc>
        <w:tc>
          <w:tcPr>
            <w:tcW w:w="0" w:type="dxa"/>
            <w:vAlign w:val="bottom"/>
          </w:tcPr>
          <w:p>
            <w:pPr>
              <w:spacing w:after="0"/>
              <w:rPr>
                <w:sz w:val="1"/>
                <w:szCs w:val="1"/>
                <w:color w:val="auto"/>
              </w:rPr>
            </w:pPr>
          </w:p>
        </w:tc>
      </w:tr>
      <w:tr>
        <w:trPr>
          <w:trHeight w:val="198"/>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for the nine month period ended September 30,</w:t>
            </w:r>
          </w:p>
        </w:tc>
        <w:tc>
          <w:tcPr>
            <w:tcW w:w="960" w:type="dxa"/>
            <w:vAlign w:val="bottom"/>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(35,911)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(35,911)</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2025</w:t>
            </w: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13,398,07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180" w:type="dxa"/>
            <w:vAlign w:val="bottom"/>
            <w:shd w:val="clear" w:color="auto" w:fill="CFF0FC"/>
          </w:tcPr>
          <w:p>
            <w:pPr>
              <w:spacing w:after="0"/>
              <w:rPr>
                <w:sz w:val="22"/>
                <w:szCs w:val="22"/>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shd w:val="clear" w:color="auto" w:fill="CFF0FC"/>
          </w:tcPr>
          <w:p>
            <w:pPr>
              <w:spacing w:after="0"/>
              <w:rPr>
                <w:sz w:val="22"/>
                <w:szCs w:val="2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184,912</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(48,732)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136,314</w:t>
            </w:r>
          </w:p>
        </w:tc>
        <w:tc>
          <w:tcPr>
            <w:tcW w:w="0" w:type="dxa"/>
            <w:vAlign w:val="bottom"/>
          </w:tcPr>
          <w:p>
            <w:pPr>
              <w:spacing w:after="0"/>
              <w:rPr>
                <w:sz w:val="1"/>
                <w:szCs w:val="1"/>
                <w:color w:val="auto"/>
              </w:rPr>
            </w:pPr>
          </w:p>
        </w:tc>
      </w:tr>
      <w:tr>
        <w:trPr>
          <w:trHeight w:val="199"/>
        </w:trPr>
        <w:tc>
          <w:tcPr>
            <w:tcW w:w="418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June 30, 2025</w:t>
            </w: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13,398,07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184,912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(38,850)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146,196</w:t>
            </w:r>
          </w:p>
        </w:tc>
        <w:tc>
          <w:tcPr>
            <w:tcW w:w="0" w:type="dxa"/>
            <w:vAlign w:val="bottom"/>
          </w:tcPr>
          <w:p>
            <w:pPr>
              <w:spacing w:after="0"/>
              <w:rPr>
                <w:sz w:val="1"/>
                <w:szCs w:val="1"/>
                <w:color w:val="auto"/>
              </w:rPr>
            </w:pPr>
          </w:p>
        </w:tc>
      </w:tr>
      <w:tr>
        <w:trPr>
          <w:trHeight w:val="21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net assets resulting from operations: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Net investment income</w:t>
            </w: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2,940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2,940</w:t>
            </w:r>
          </w:p>
        </w:tc>
        <w:tc>
          <w:tcPr>
            <w:tcW w:w="0" w:type="dxa"/>
            <w:vAlign w:val="bottom"/>
          </w:tcPr>
          <w:p>
            <w:pPr>
              <w:spacing w:after="0"/>
              <w:rPr>
                <w:sz w:val="1"/>
                <w:szCs w:val="1"/>
                <w:color w:val="auto"/>
              </w:rPr>
            </w:pPr>
          </w:p>
        </w:tc>
      </w:tr>
      <w:tr>
        <w:trPr>
          <w:trHeight w:val="213"/>
        </w:trPr>
        <w:tc>
          <w:tcPr>
            <w:tcW w:w="4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realized loss on investments, net of taxes</w:t>
            </w:r>
          </w:p>
        </w:tc>
        <w:tc>
          <w:tcPr>
            <w:tcW w:w="9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(4,646)</w:t>
            </w:r>
          </w:p>
        </w:tc>
        <w:tc>
          <w:tcPr>
            <w:tcW w:w="0" w:type="dxa"/>
            <w:vAlign w:val="bottom"/>
          </w:tcPr>
          <w:p>
            <w:pPr>
              <w:spacing w:after="0"/>
              <w:rPr>
                <w:sz w:val="1"/>
                <w:szCs w:val="1"/>
                <w:color w:val="auto"/>
              </w:rPr>
            </w:pPr>
          </w:p>
        </w:tc>
      </w:tr>
      <w:tr>
        <w:trPr>
          <w:trHeight w:val="205"/>
        </w:trPr>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Net unrealized depreciation on investments, net of deferred</w:t>
            </w: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taxes</w:t>
            </w: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(3,129)</w:t>
            </w:r>
          </w:p>
        </w:tc>
        <w:tc>
          <w:tcPr>
            <w:tcW w:w="0" w:type="dxa"/>
            <w:vAlign w:val="bottom"/>
          </w:tcPr>
          <w:p>
            <w:pPr>
              <w:spacing w:after="0"/>
              <w:rPr>
                <w:sz w:val="1"/>
                <w:szCs w:val="1"/>
                <w:color w:val="auto"/>
              </w:rPr>
            </w:pPr>
          </w:p>
        </w:tc>
      </w:tr>
      <w:tr>
        <w:trPr>
          <w:trHeight w:val="213"/>
        </w:trPr>
        <w:tc>
          <w:tcPr>
            <w:tcW w:w="4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9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Distribution declared</w:t>
            </w:r>
          </w:p>
        </w:tc>
        <w:tc>
          <w:tcPr>
            <w:tcW w:w="9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(4,555)</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(4,555)</w:t>
            </w:r>
          </w:p>
        </w:tc>
        <w:tc>
          <w:tcPr>
            <w:tcW w:w="0" w:type="dxa"/>
            <w:vAlign w:val="bottom"/>
          </w:tcPr>
          <w:p>
            <w:pPr>
              <w:spacing w:after="0"/>
              <w:rPr>
                <w:sz w:val="1"/>
                <w:szCs w:val="1"/>
                <w:color w:val="auto"/>
              </w:rPr>
            </w:pPr>
          </w:p>
        </w:tc>
      </w:tr>
      <w:tr>
        <w:trPr>
          <w:trHeight w:val="198"/>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for the three month period ended September 30,</w:t>
            </w:r>
          </w:p>
        </w:tc>
        <w:tc>
          <w:tcPr>
            <w:tcW w:w="960" w:type="dxa"/>
            <w:vAlign w:val="bottom"/>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(9,882)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(9,882)</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2025</w:t>
            </w: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13,398,07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80" w:type="dxa"/>
            <w:vAlign w:val="bottom"/>
            <w:shd w:val="clear" w:color="auto" w:fill="CFF0FC"/>
          </w:tcPr>
          <w:p>
            <w:pPr>
              <w:spacing w:after="0"/>
              <w:rPr>
                <w:sz w:val="22"/>
                <w:szCs w:val="22"/>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shd w:val="clear" w:color="auto" w:fill="CFF0FC"/>
          </w:tcPr>
          <w:p>
            <w:pPr>
              <w:spacing w:after="0"/>
              <w:rPr>
                <w:sz w:val="22"/>
                <w:szCs w:val="2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184,912</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(48,732)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136,314</w:t>
            </w:r>
          </w:p>
        </w:tc>
        <w:tc>
          <w:tcPr>
            <w:tcW w:w="0" w:type="dxa"/>
            <w:vAlign w:val="bottom"/>
          </w:tcPr>
          <w:p>
            <w:pPr>
              <w:spacing w:after="0"/>
              <w:rPr>
                <w:sz w:val="1"/>
                <w:szCs w:val="1"/>
                <w:color w:val="auto"/>
              </w:rPr>
            </w:pPr>
          </w:p>
        </w:tc>
      </w:tr>
      <w:tr>
        <w:trPr>
          <w:trHeight w:val="197"/>
        </w:trPr>
        <w:tc>
          <w:tcPr>
            <w:tcW w:w="418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2025</w:t>
            </w: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13,398,07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174,195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(51,141)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123,188</w:t>
            </w:r>
          </w:p>
        </w:tc>
        <w:tc>
          <w:tcPr>
            <w:tcW w:w="0" w:type="dxa"/>
            <w:vAlign w:val="bottom"/>
          </w:tcPr>
          <w:p>
            <w:pPr>
              <w:spacing w:after="0"/>
              <w:rPr>
                <w:sz w:val="1"/>
                <w:szCs w:val="1"/>
                <w:color w:val="auto"/>
              </w:rPr>
            </w:pPr>
          </w:p>
        </w:tc>
      </w:tr>
      <w:tr>
        <w:trPr>
          <w:trHeight w:val="21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net assets resulting from operations: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Net investment income</w:t>
            </w: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4,191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4,191</w:t>
            </w:r>
          </w:p>
        </w:tc>
        <w:tc>
          <w:tcPr>
            <w:tcW w:w="0" w:type="dxa"/>
            <w:vAlign w:val="bottom"/>
          </w:tcPr>
          <w:p>
            <w:pPr>
              <w:spacing w:after="0"/>
              <w:rPr>
                <w:sz w:val="1"/>
                <w:szCs w:val="1"/>
                <w:color w:val="auto"/>
              </w:rPr>
            </w:pPr>
          </w:p>
        </w:tc>
      </w:tr>
      <w:tr>
        <w:trPr>
          <w:trHeight w:val="213"/>
        </w:trPr>
        <w:tc>
          <w:tcPr>
            <w:tcW w:w="4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realized loss on investments, net of taxes</w:t>
            </w:r>
          </w:p>
        </w:tc>
        <w:tc>
          <w:tcPr>
            <w:tcW w:w="9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(25,143)</w:t>
            </w:r>
          </w:p>
        </w:tc>
        <w:tc>
          <w:tcPr>
            <w:tcW w:w="0" w:type="dxa"/>
            <w:vAlign w:val="bottom"/>
          </w:tcPr>
          <w:p>
            <w:pPr>
              <w:spacing w:after="0"/>
              <w:rPr>
                <w:sz w:val="1"/>
                <w:szCs w:val="1"/>
                <w:color w:val="auto"/>
              </w:rPr>
            </w:pPr>
          </w:p>
        </w:tc>
      </w:tr>
      <w:tr>
        <w:trPr>
          <w:trHeight w:val="191"/>
        </w:trPr>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Net unrealized appreciation on investments, net of deferred</w:t>
            </w: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taxes</w:t>
            </w: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3,866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3,866</w:t>
            </w:r>
          </w:p>
        </w:tc>
        <w:tc>
          <w:tcPr>
            <w:tcW w:w="0" w:type="dxa"/>
            <w:vAlign w:val="bottom"/>
          </w:tcPr>
          <w:p>
            <w:pPr>
              <w:spacing w:after="0"/>
              <w:rPr>
                <w:sz w:val="1"/>
                <w:szCs w:val="1"/>
                <w:color w:val="auto"/>
              </w:rPr>
            </w:pPr>
          </w:p>
        </w:tc>
      </w:tr>
      <w:tr>
        <w:trPr>
          <w:trHeight w:val="213"/>
        </w:trPr>
        <w:tc>
          <w:tcPr>
            <w:tcW w:w="4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9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Distributions declared</w:t>
            </w:r>
          </w:p>
        </w:tc>
        <w:tc>
          <w:tcPr>
            <w:tcW w:w="9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(6,833)</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(6,833)</w:t>
            </w:r>
          </w:p>
        </w:tc>
        <w:tc>
          <w:tcPr>
            <w:tcW w:w="0" w:type="dxa"/>
            <w:vAlign w:val="bottom"/>
          </w:tcPr>
          <w:p>
            <w:pPr>
              <w:spacing w:after="0"/>
              <w:rPr>
                <w:sz w:val="1"/>
                <w:szCs w:val="1"/>
                <w:color w:val="auto"/>
              </w:rPr>
            </w:pPr>
          </w:p>
        </w:tc>
      </w:tr>
      <w:tr>
        <w:trPr>
          <w:trHeight w:val="198"/>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for the nine month period ended September 30,</w:t>
            </w:r>
          </w:p>
        </w:tc>
        <w:tc>
          <w:tcPr>
            <w:tcW w:w="960" w:type="dxa"/>
            <w:vAlign w:val="bottom"/>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(24,359)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(24,359)</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2026</w:t>
            </w: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13,398,07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180" w:type="dxa"/>
            <w:vAlign w:val="bottom"/>
            <w:shd w:val="clear" w:color="auto" w:fill="CFF0FC"/>
          </w:tcPr>
          <w:p>
            <w:pPr>
              <w:spacing w:after="0"/>
              <w:rPr>
                <w:sz w:val="22"/>
                <w:szCs w:val="22"/>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shd w:val="clear" w:color="auto" w:fill="CFF0FC"/>
          </w:tcPr>
          <w:p>
            <w:pPr>
              <w:spacing w:after="0"/>
              <w:rPr>
                <w:sz w:val="22"/>
                <w:szCs w:val="2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174,195</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(75,500)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98,829</w:t>
            </w:r>
          </w:p>
        </w:tc>
        <w:tc>
          <w:tcPr>
            <w:tcW w:w="0" w:type="dxa"/>
            <w:vAlign w:val="bottom"/>
          </w:tcPr>
          <w:p>
            <w:pPr>
              <w:spacing w:after="0"/>
              <w:rPr>
                <w:sz w:val="1"/>
                <w:szCs w:val="1"/>
                <w:color w:val="auto"/>
              </w:rPr>
            </w:pPr>
          </w:p>
        </w:tc>
      </w:tr>
      <w:tr>
        <w:trPr>
          <w:trHeight w:val="200"/>
        </w:trPr>
        <w:tc>
          <w:tcPr>
            <w:tcW w:w="418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June 30, 2026</w:t>
            </w: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13,398,07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174,195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(61,717)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112,612</w:t>
            </w:r>
          </w:p>
        </w:tc>
        <w:tc>
          <w:tcPr>
            <w:tcW w:w="0" w:type="dxa"/>
            <w:vAlign w:val="bottom"/>
          </w:tcPr>
          <w:p>
            <w:pPr>
              <w:spacing w:after="0"/>
              <w:rPr>
                <w:sz w:val="1"/>
                <w:szCs w:val="1"/>
                <w:color w:val="auto"/>
              </w:rPr>
            </w:pPr>
          </w:p>
        </w:tc>
      </w:tr>
      <w:tr>
        <w:trPr>
          <w:trHeight w:val="21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net assets resulting from operations: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Net investment income</w:t>
            </w: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719</w:t>
            </w:r>
          </w:p>
        </w:tc>
        <w:tc>
          <w:tcPr>
            <w:tcW w:w="0" w:type="dxa"/>
            <w:vAlign w:val="bottom"/>
          </w:tcPr>
          <w:p>
            <w:pPr>
              <w:spacing w:after="0"/>
              <w:rPr>
                <w:sz w:val="1"/>
                <w:szCs w:val="1"/>
                <w:color w:val="auto"/>
              </w:rPr>
            </w:pPr>
          </w:p>
        </w:tc>
      </w:tr>
      <w:tr>
        <w:trPr>
          <w:trHeight w:val="213"/>
        </w:trPr>
        <w:tc>
          <w:tcPr>
            <w:tcW w:w="4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realized loss on investments, net of taxes</w:t>
            </w:r>
          </w:p>
        </w:tc>
        <w:tc>
          <w:tcPr>
            <w:tcW w:w="9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(7,824)</w:t>
            </w:r>
          </w:p>
        </w:tc>
        <w:tc>
          <w:tcPr>
            <w:tcW w:w="0" w:type="dxa"/>
            <w:vAlign w:val="bottom"/>
          </w:tcPr>
          <w:p>
            <w:pPr>
              <w:spacing w:after="0"/>
              <w:rPr>
                <w:sz w:val="1"/>
                <w:szCs w:val="1"/>
                <w:color w:val="auto"/>
              </w:rPr>
            </w:pPr>
          </w:p>
        </w:tc>
      </w:tr>
      <w:tr>
        <w:trPr>
          <w:trHeight w:val="205"/>
        </w:trPr>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Net unrealized depreciation on investments, net of deferred</w:t>
            </w: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taxes</w:t>
            </w: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(4,090)</w:t>
            </w:r>
          </w:p>
        </w:tc>
        <w:tc>
          <w:tcPr>
            <w:tcW w:w="0" w:type="dxa"/>
            <w:vAlign w:val="bottom"/>
          </w:tcPr>
          <w:p>
            <w:pPr>
              <w:spacing w:after="0"/>
              <w:rPr>
                <w:sz w:val="1"/>
                <w:szCs w:val="1"/>
                <w:color w:val="auto"/>
              </w:rPr>
            </w:pPr>
          </w:p>
        </w:tc>
      </w:tr>
      <w:tr>
        <w:trPr>
          <w:trHeight w:val="213"/>
        </w:trPr>
        <w:tc>
          <w:tcPr>
            <w:tcW w:w="4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9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Distribution declared</w:t>
            </w:r>
          </w:p>
        </w:tc>
        <w:tc>
          <w:tcPr>
            <w:tcW w:w="9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0" w:type="dxa"/>
            <w:vAlign w:val="bottom"/>
          </w:tcPr>
          <w:p>
            <w:pPr>
              <w:spacing w:after="0"/>
              <w:rPr>
                <w:sz w:val="1"/>
                <w:szCs w:val="1"/>
                <w:color w:val="auto"/>
              </w:rPr>
            </w:pPr>
          </w:p>
        </w:tc>
      </w:tr>
      <w:tr>
        <w:trPr>
          <w:trHeight w:val="198"/>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for the three month period ended September 30,</w:t>
            </w:r>
          </w:p>
        </w:tc>
        <w:tc>
          <w:tcPr>
            <w:tcW w:w="960" w:type="dxa"/>
            <w:vAlign w:val="bottom"/>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(13,783)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(13,783)</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2026</w:t>
            </w: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13,398,07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180" w:type="dxa"/>
            <w:vAlign w:val="bottom"/>
            <w:shd w:val="clear" w:color="auto" w:fill="CFF0FC"/>
          </w:tcPr>
          <w:p>
            <w:pPr>
              <w:spacing w:after="0"/>
              <w:rPr>
                <w:sz w:val="20"/>
                <w:szCs w:val="20"/>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174,195</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(75,500)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98,829</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3261360</wp:posOffset>
            </wp:positionH>
            <wp:positionV relativeFrom="paragraph">
              <wp:posOffset>-6316980</wp:posOffset>
            </wp:positionV>
            <wp:extent cx="6858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3870325</wp:posOffset>
            </wp:positionH>
            <wp:positionV relativeFrom="paragraph">
              <wp:posOffset>-6316980</wp:posOffset>
            </wp:positionV>
            <wp:extent cx="76835"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274320"/>
                    </a:xfrm>
                    <a:prstGeom prst="rect">
                      <a:avLst/>
                    </a:prstGeom>
                    <a:noFill/>
                  </pic:spPr>
                </pic:pic>
              </a:graphicData>
            </a:graphic>
          </wp:anchor>
        </w:drawing>
        <w:drawing>
          <wp:anchor simplePos="0" relativeHeight="251657728" behindDoc="1" locked="0" layoutInCell="0" allowOverlap="1">
            <wp:simplePos x="0" y="0"/>
            <wp:positionH relativeFrom="column">
              <wp:posOffset>4556125</wp:posOffset>
            </wp:positionH>
            <wp:positionV relativeFrom="paragraph">
              <wp:posOffset>-6316980</wp:posOffset>
            </wp:positionV>
            <wp:extent cx="68580"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5198745</wp:posOffset>
            </wp:positionH>
            <wp:positionV relativeFrom="paragraph">
              <wp:posOffset>-6316980</wp:posOffset>
            </wp:positionV>
            <wp:extent cx="68580"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5850255</wp:posOffset>
            </wp:positionH>
            <wp:positionV relativeFrom="paragraph">
              <wp:posOffset>-6316980</wp:posOffset>
            </wp:positionV>
            <wp:extent cx="6858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6493510</wp:posOffset>
            </wp:positionH>
            <wp:positionV relativeFrom="paragraph">
              <wp:posOffset>-6316980</wp:posOffset>
            </wp:positionV>
            <wp:extent cx="68580"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-5777230</wp:posOffset>
            </wp:positionV>
            <wp:extent cx="3300095"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0095" cy="162560"/>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-4396740</wp:posOffset>
            </wp:positionV>
            <wp:extent cx="6858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3870325</wp:posOffset>
            </wp:positionH>
            <wp:positionV relativeFrom="paragraph">
              <wp:posOffset>-4396740</wp:posOffset>
            </wp:positionV>
            <wp:extent cx="76835"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274320"/>
                    </a:xfrm>
                    <a:prstGeom prst="rect">
                      <a:avLst/>
                    </a:prstGeom>
                    <a:noFill/>
                  </pic:spPr>
                </pic:pic>
              </a:graphicData>
            </a:graphic>
          </wp:anchor>
        </w:drawing>
        <w:drawing>
          <wp:anchor simplePos="0" relativeHeight="251657728" behindDoc="1" locked="0" layoutInCell="0" allowOverlap="1">
            <wp:simplePos x="0" y="0"/>
            <wp:positionH relativeFrom="column">
              <wp:posOffset>4556125</wp:posOffset>
            </wp:positionH>
            <wp:positionV relativeFrom="paragraph">
              <wp:posOffset>-4396740</wp:posOffset>
            </wp:positionV>
            <wp:extent cx="68580"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5198745</wp:posOffset>
            </wp:positionH>
            <wp:positionV relativeFrom="paragraph">
              <wp:posOffset>-4396740</wp:posOffset>
            </wp:positionV>
            <wp:extent cx="6858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5850255</wp:posOffset>
            </wp:positionH>
            <wp:positionV relativeFrom="paragraph">
              <wp:posOffset>-4396740</wp:posOffset>
            </wp:positionV>
            <wp:extent cx="68580"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6493510</wp:posOffset>
            </wp:positionH>
            <wp:positionV relativeFrom="paragraph">
              <wp:posOffset>-4396740</wp:posOffset>
            </wp:positionV>
            <wp:extent cx="68580" cy="274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-3856990</wp:posOffset>
            </wp:positionV>
            <wp:extent cx="3300095"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00095" cy="16319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-2485390</wp:posOffset>
            </wp:positionV>
            <wp:extent cx="68580" cy="27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3870325</wp:posOffset>
            </wp:positionH>
            <wp:positionV relativeFrom="paragraph">
              <wp:posOffset>-2485390</wp:posOffset>
            </wp:positionV>
            <wp:extent cx="76835"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274320"/>
                    </a:xfrm>
                    <a:prstGeom prst="rect">
                      <a:avLst/>
                    </a:prstGeom>
                    <a:noFill/>
                  </pic:spPr>
                </pic:pic>
              </a:graphicData>
            </a:graphic>
          </wp:anchor>
        </w:drawing>
        <w:drawing>
          <wp:anchor simplePos="0" relativeHeight="251657728" behindDoc="1" locked="0" layoutInCell="0" allowOverlap="1">
            <wp:simplePos x="0" y="0"/>
            <wp:positionH relativeFrom="column">
              <wp:posOffset>4556125</wp:posOffset>
            </wp:positionH>
            <wp:positionV relativeFrom="paragraph">
              <wp:posOffset>-2485390</wp:posOffset>
            </wp:positionV>
            <wp:extent cx="68580" cy="274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5198745</wp:posOffset>
            </wp:positionH>
            <wp:positionV relativeFrom="paragraph">
              <wp:posOffset>-2485390</wp:posOffset>
            </wp:positionV>
            <wp:extent cx="68580" cy="274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5850255</wp:posOffset>
            </wp:positionH>
            <wp:positionV relativeFrom="paragraph">
              <wp:posOffset>-2485390</wp:posOffset>
            </wp:positionV>
            <wp:extent cx="68580" cy="27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6493510</wp:posOffset>
            </wp:positionH>
            <wp:positionV relativeFrom="paragraph">
              <wp:posOffset>-2485390</wp:posOffset>
            </wp:positionV>
            <wp:extent cx="68580" cy="274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-1945640</wp:posOffset>
            </wp:positionV>
            <wp:extent cx="3300095"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00095" cy="16319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-565150</wp:posOffset>
            </wp:positionV>
            <wp:extent cx="68580" cy="274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3870325</wp:posOffset>
            </wp:positionH>
            <wp:positionV relativeFrom="paragraph">
              <wp:posOffset>-565150</wp:posOffset>
            </wp:positionV>
            <wp:extent cx="76835" cy="274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274320"/>
                    </a:xfrm>
                    <a:prstGeom prst="rect">
                      <a:avLst/>
                    </a:prstGeom>
                    <a:noFill/>
                  </pic:spPr>
                </pic:pic>
              </a:graphicData>
            </a:graphic>
          </wp:anchor>
        </w:drawing>
        <w:drawing>
          <wp:anchor simplePos="0" relativeHeight="251657728" behindDoc="1" locked="0" layoutInCell="0" allowOverlap="1">
            <wp:simplePos x="0" y="0"/>
            <wp:positionH relativeFrom="column">
              <wp:posOffset>4556125</wp:posOffset>
            </wp:positionH>
            <wp:positionV relativeFrom="paragraph">
              <wp:posOffset>-565150</wp:posOffset>
            </wp:positionV>
            <wp:extent cx="68580" cy="274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5198745</wp:posOffset>
            </wp:positionH>
            <wp:positionV relativeFrom="paragraph">
              <wp:posOffset>-565150</wp:posOffset>
            </wp:positionV>
            <wp:extent cx="68580" cy="274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5850255</wp:posOffset>
            </wp:positionH>
            <wp:positionV relativeFrom="paragraph">
              <wp:posOffset>-565150</wp:posOffset>
            </wp:positionV>
            <wp:extent cx="68580" cy="274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6493510</wp:posOffset>
            </wp:positionH>
            <wp:positionV relativeFrom="paragraph">
              <wp:posOffset>-565150</wp:posOffset>
            </wp:positionV>
            <wp:extent cx="68580" cy="274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-25400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3870325</wp:posOffset>
            </wp:positionH>
            <wp:positionV relativeFrom="paragraph">
              <wp:posOffset>-25400</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3870325</wp:posOffset>
            </wp:positionH>
            <wp:positionV relativeFrom="paragraph">
              <wp:posOffset>-7620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4556125</wp:posOffset>
            </wp:positionH>
            <wp:positionV relativeFrom="paragraph">
              <wp:posOffset>-25400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4556125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5198745</wp:posOffset>
            </wp:positionH>
            <wp:positionV relativeFrom="paragraph">
              <wp:posOffset>-25400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5198745</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5850255</wp:posOffset>
            </wp:positionH>
            <wp:positionV relativeFrom="paragraph">
              <wp:posOffset>-25400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5850255</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6493510</wp:posOffset>
            </wp:positionH>
            <wp:positionV relativeFrom="paragraph">
              <wp:posOffset>-25400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6493510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Consolidated Financial Statements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226060</wp:posOffset>
            </wp:positionV>
            <wp:extent cx="71831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841" w:right="318"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20" w:type="dxa"/>
            <w:vAlign w:val="bottom"/>
            <w:tcBorders>
              <w:bottom w:val="single" w:sz="8" w:color="auto"/>
            </w:tcBorders>
          </w:tcPr>
          <w:p>
            <w:pPr>
              <w:spacing w:after="0"/>
              <w:rPr>
                <w:sz w:val="18"/>
                <w:szCs w:val="18"/>
                <w:color w:val="auto"/>
              </w:rPr>
            </w:pPr>
          </w:p>
        </w:tc>
      </w:tr>
      <w:tr>
        <w:trPr>
          <w:trHeight w:val="211"/>
        </w:trPr>
        <w:tc>
          <w:tcPr>
            <w:tcW w:w="6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Pr>
          <w:p>
            <w:pPr>
              <w:spacing w:after="0"/>
              <w:rPr>
                <w:sz w:val="18"/>
                <w:szCs w:val="18"/>
                <w:color w:val="auto"/>
              </w:rPr>
            </w:pPr>
          </w:p>
        </w:tc>
      </w:tr>
      <w:tr>
        <w:trPr>
          <w:trHeight w:val="211"/>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r>
      <w:tr>
        <w:trPr>
          <w:trHeight w:val="213"/>
        </w:trPr>
        <w:tc>
          <w:tcPr>
            <w:tcW w:w="6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decrease in net assets resulting from operations</w:t>
            </w:r>
          </w:p>
        </w:tc>
        <w:tc>
          <w:tcPr>
            <w:tcW w:w="2100" w:type="dxa"/>
            <w:vAlign w:val="bottom"/>
            <w:gridSpan w:val="2"/>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(17,526)</w:t>
            </w:r>
          </w:p>
        </w:tc>
        <w:tc>
          <w:tcPr>
            <w:tcW w:w="124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(22,245)</w:t>
            </w:r>
          </w:p>
        </w:tc>
      </w:tr>
      <w:tr>
        <w:trPr>
          <w:trHeight w:val="205"/>
        </w:trPr>
        <w:tc>
          <w:tcPr>
            <w:tcW w:w="6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decrease in net assets resulting from</w:t>
            </w:r>
          </w:p>
        </w:tc>
        <w:tc>
          <w:tcPr>
            <w:tcW w:w="1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r>
      <w:tr>
        <w:trPr>
          <w:trHeight w:val="216"/>
        </w:trPr>
        <w:tc>
          <w:tcPr>
            <w:tcW w:w="6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operations to net cash provided by operating activities:</w:t>
            </w:r>
          </w:p>
        </w:tc>
        <w:tc>
          <w:tcPr>
            <w:tcW w:w="1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r>
      <w:tr>
        <w:trPr>
          <w:trHeight w:val="213"/>
        </w:trPr>
        <w:tc>
          <w:tcPr>
            <w:tcW w:w="6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realized loss on investments, net of taxes</w:t>
            </w: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25,143</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11,424</w:t>
            </w:r>
          </w:p>
        </w:tc>
      </w:tr>
      <w:tr>
        <w:trPr>
          <w:trHeight w:val="219"/>
        </w:trPr>
        <w:tc>
          <w:tcPr>
            <w:tcW w:w="6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440</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492</w:t>
            </w:r>
          </w:p>
        </w:tc>
      </w:tr>
      <w:tr>
        <w:trPr>
          <w:trHeight w:val="213"/>
        </w:trPr>
        <w:tc>
          <w:tcPr>
            <w:tcW w:w="6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unrealized (appreciation) depreciation on investments, net of deferred taxes</w:t>
            </w: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(3,866)</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20,017</w:t>
            </w:r>
          </w:p>
        </w:tc>
      </w:tr>
      <w:tr>
        <w:trPr>
          <w:trHeight w:val="219"/>
        </w:trPr>
        <w:tc>
          <w:tcPr>
            <w:tcW w:w="6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Amortization of Net Loan Fees</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w:t>
            </w:r>
          </w:p>
        </w:tc>
      </w:tr>
      <w:tr>
        <w:trPr>
          <w:trHeight w:val="213"/>
        </w:trPr>
        <w:tc>
          <w:tcPr>
            <w:tcW w:w="6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Amendment fees received</w:t>
            </w: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w:t>
            </w:r>
          </w:p>
        </w:tc>
      </w:tr>
      <w:tr>
        <w:trPr>
          <w:trHeight w:val="205"/>
        </w:trPr>
        <w:tc>
          <w:tcPr>
            <w:tcW w:w="6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Payment-in-kind interest and dividend income</w:t>
            </w:r>
          </w:p>
        </w:tc>
        <w:tc>
          <w:tcPr>
            <w:tcW w:w="1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(2,140)</w:t>
            </w:r>
          </w:p>
        </w:tc>
      </w:tr>
      <w:tr>
        <w:trPr>
          <w:trHeight w:val="213"/>
        </w:trPr>
        <w:tc>
          <w:tcPr>
            <w:tcW w:w="6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Accretion of interest income on Structured Finance Securities</w:t>
            </w: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(6,185)</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(8,694)</w:t>
            </w:r>
          </w:p>
        </w:tc>
      </w:tr>
      <w:tr>
        <w:trPr>
          <w:trHeight w:val="219"/>
        </w:trPr>
        <w:tc>
          <w:tcPr>
            <w:tcW w:w="6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Amortization of deferred debt issuance costs</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1,078</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1,172</w:t>
            </w:r>
          </w:p>
        </w:tc>
      </w:tr>
      <w:tr>
        <w:trPr>
          <w:trHeight w:val="213"/>
        </w:trPr>
        <w:tc>
          <w:tcPr>
            <w:tcW w:w="6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Purchase and origination of portfolio investments</w:t>
            </w: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(11,924)</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(41,004)</w:t>
            </w:r>
          </w:p>
        </w:tc>
      </w:tr>
      <w:tr>
        <w:trPr>
          <w:trHeight w:val="219"/>
        </w:trPr>
        <w:tc>
          <w:tcPr>
            <w:tcW w:w="6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Proceeds from principal payments on portfolio investments</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48,891</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22,804</w:t>
            </w:r>
          </w:p>
        </w:tc>
      </w:tr>
      <w:tr>
        <w:trPr>
          <w:trHeight w:val="213"/>
        </w:trPr>
        <w:tc>
          <w:tcPr>
            <w:tcW w:w="6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sale or redemption of portfolio investments</w:t>
            </w: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32,903</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26,702</w:t>
            </w:r>
          </w:p>
        </w:tc>
      </w:tr>
      <w:tr>
        <w:trPr>
          <w:trHeight w:val="219"/>
        </w:trPr>
        <w:tc>
          <w:tcPr>
            <w:tcW w:w="6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Proceeds from distributions received from portfolio investments</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7,444</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11,055</w:t>
            </w:r>
          </w:p>
        </w:tc>
      </w:tr>
      <w:tr>
        <w:trPr>
          <w:trHeight w:val="213"/>
        </w:trPr>
        <w:tc>
          <w:tcPr>
            <w:tcW w:w="6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6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Interest and dividend receivable</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389</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552</w:t>
            </w:r>
          </w:p>
        </w:tc>
      </w:tr>
      <w:tr>
        <w:trPr>
          <w:trHeight w:val="213"/>
        </w:trPr>
        <w:tc>
          <w:tcPr>
            <w:tcW w:w="6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Receivable for investments sold</w:t>
            </w: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8,268</w:t>
            </w:r>
          </w:p>
        </w:tc>
      </w:tr>
      <w:tr>
        <w:trPr>
          <w:trHeight w:val="219"/>
        </w:trPr>
        <w:tc>
          <w:tcPr>
            <w:tcW w:w="6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Interest payable</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(911)</w:t>
            </w:r>
          </w:p>
        </w:tc>
      </w:tr>
      <w:tr>
        <w:trPr>
          <w:trHeight w:val="213"/>
        </w:trPr>
        <w:tc>
          <w:tcPr>
            <w:tcW w:w="6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Payable to adviser and affiliates</w:t>
            </w: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r>
      <w:tr>
        <w:trPr>
          <w:trHeight w:val="219"/>
        </w:trPr>
        <w:tc>
          <w:tcPr>
            <w:tcW w:w="6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Payable for investments purchased</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1,461</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(1,802)</w:t>
            </w:r>
          </w:p>
        </w:tc>
      </w:tr>
      <w:tr>
        <w:trPr>
          <w:trHeight w:val="213"/>
        </w:trPr>
        <w:tc>
          <w:tcPr>
            <w:tcW w:w="6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11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210"/>
        </w:trPr>
        <w:tc>
          <w:tcPr>
            <w:tcW w:w="65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1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71,972</w:t>
            </w: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24,260</w:t>
            </w:r>
          </w:p>
        </w:tc>
      </w:tr>
      <w:tr>
        <w:trPr>
          <w:trHeight w:val="211"/>
        </w:trPr>
        <w:tc>
          <w:tcPr>
            <w:tcW w:w="6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r>
      <w:tr>
        <w:trPr>
          <w:trHeight w:val="213"/>
        </w:trPr>
        <w:tc>
          <w:tcPr>
            <w:tcW w:w="6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paid to common stockholders</w:t>
            </w: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(4,555)</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(13,666)</w:t>
            </w:r>
          </w:p>
        </w:tc>
      </w:tr>
      <w:tr>
        <w:trPr>
          <w:trHeight w:val="219"/>
        </w:trPr>
        <w:tc>
          <w:tcPr>
            <w:tcW w:w="6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Borrowings under revolving lines of credit</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102,000</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15,250</w:t>
            </w:r>
          </w:p>
        </w:tc>
      </w:tr>
      <w:tr>
        <w:trPr>
          <w:trHeight w:val="213"/>
        </w:trPr>
        <w:tc>
          <w:tcPr>
            <w:tcW w:w="6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under revolving lines of credit</w:t>
            </w: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(132,050)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(24,400)</w:t>
            </w:r>
          </w:p>
        </w:tc>
      </w:tr>
      <w:tr>
        <w:trPr>
          <w:trHeight w:val="219"/>
        </w:trPr>
        <w:tc>
          <w:tcPr>
            <w:tcW w:w="6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Unsecured Notes issuances, net of commissions and discounts</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91,870</w:t>
            </w:r>
          </w:p>
        </w:tc>
      </w:tr>
      <w:tr>
        <w:trPr>
          <w:trHeight w:val="213"/>
        </w:trPr>
        <w:tc>
          <w:tcPr>
            <w:tcW w:w="6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Redemption of Unsecured Notes</w:t>
            </w: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(94,000)</w:t>
            </w:r>
          </w:p>
        </w:tc>
      </w:tr>
      <w:tr>
        <w:trPr>
          <w:trHeight w:val="205"/>
        </w:trPr>
        <w:tc>
          <w:tcPr>
            <w:tcW w:w="65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Payment of deferred financing costs</w:t>
            </w:r>
          </w:p>
        </w:tc>
        <w:tc>
          <w:tcPr>
            <w:tcW w:w="114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1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w:t>
            </w:r>
          </w:p>
        </w:tc>
      </w:tr>
      <w:tr>
        <w:trPr>
          <w:trHeight w:val="208"/>
        </w:trPr>
        <w:tc>
          <w:tcPr>
            <w:tcW w:w="658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1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(72,199)</w:t>
            </w:r>
          </w:p>
        </w:tc>
        <w:tc>
          <w:tcPr>
            <w:tcW w:w="1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(25,320)</w:t>
            </w:r>
          </w:p>
        </w:tc>
      </w:tr>
      <w:tr>
        <w:trPr>
          <w:trHeight w:val="211"/>
        </w:trPr>
        <w:tc>
          <w:tcPr>
            <w:tcW w:w="6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1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(1,060)</w:t>
            </w:r>
          </w:p>
        </w:tc>
      </w:tr>
      <w:tr>
        <w:trPr>
          <w:trHeight w:val="214"/>
        </w:trPr>
        <w:tc>
          <w:tcPr>
            <w:tcW w:w="6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5"/>
        </w:trPr>
        <w:tc>
          <w:tcPr>
            <w:tcW w:w="65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11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3,359</w:t>
            </w: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6,068</w:t>
            </w:r>
          </w:p>
        </w:tc>
      </w:tr>
      <w:tr>
        <w:trPr>
          <w:trHeight w:val="209"/>
        </w:trPr>
        <w:tc>
          <w:tcPr>
            <w:tcW w:w="6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2100" w:type="dxa"/>
            <w:vAlign w:val="bottom"/>
            <w:gridSpan w:val="2"/>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3,132</w:t>
            </w:r>
          </w:p>
        </w:tc>
        <w:tc>
          <w:tcPr>
            <w:tcW w:w="124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5,008</w:t>
            </w:r>
          </w:p>
        </w:tc>
      </w:tr>
      <w:tr>
        <w:trPr>
          <w:trHeight w:val="20"/>
        </w:trPr>
        <w:tc>
          <w:tcPr>
            <w:tcW w:w="6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99"/>
        </w:trPr>
        <w:tc>
          <w:tcPr>
            <w:tcW w:w="65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r>
      <w:tr>
        <w:trPr>
          <w:trHeight w:val="214"/>
        </w:trPr>
        <w:tc>
          <w:tcPr>
            <w:tcW w:w="6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8"/>
        </w:trPr>
        <w:tc>
          <w:tcPr>
            <w:tcW w:w="6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210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10,232</w:t>
            </w:r>
          </w:p>
        </w:tc>
        <w:tc>
          <w:tcPr>
            <w:tcW w:w="1240" w:type="dxa"/>
            <w:vAlign w:val="bottom"/>
            <w:gridSpan w:val="2"/>
            <w:shd w:val="clear" w:color="auto" w:fill="CFF0FC"/>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11,981</w:t>
            </w:r>
          </w:p>
        </w:tc>
      </w:tr>
      <w:tr>
        <w:trPr>
          <w:trHeight w:val="221"/>
        </w:trPr>
        <w:tc>
          <w:tcPr>
            <w:tcW w:w="6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8"/>
        </w:trPr>
        <w:tc>
          <w:tcPr>
            <w:tcW w:w="6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Reclassification of deferred offering costs from the issuance of Unsecured Notes</w:t>
            </w:r>
          </w:p>
        </w:tc>
        <w:tc>
          <w:tcPr>
            <w:tcW w:w="1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5970270</wp:posOffset>
            </wp:positionH>
            <wp:positionV relativeFrom="paragraph">
              <wp:posOffset>-2536825</wp:posOffset>
            </wp:positionV>
            <wp:extent cx="11176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760" cy="146050"/>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-1439545</wp:posOffset>
            </wp:positionV>
            <wp:extent cx="11176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760" cy="154305"/>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-873760</wp:posOffset>
            </wp:positionV>
            <wp:extent cx="11176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760" cy="17145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330200</wp:posOffset>
            </wp:positionV>
            <wp:extent cx="71831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100" w:type="dxa"/>
            <w:vAlign w:val="bottom"/>
          </w:tcPr>
          <w:p>
            <w:pPr>
              <w:spacing w:after="0"/>
              <w:rPr>
                <w:sz w:val="13"/>
                <w:szCs w:val="13"/>
                <w:color w:val="auto"/>
              </w:rPr>
            </w:pPr>
          </w:p>
        </w:tc>
        <w:tc>
          <w:tcPr>
            <w:tcW w:w="6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Amorti</w:t>
            </w:r>
          </w:p>
        </w:tc>
        <w:tc>
          <w:tcPr>
            <w:tcW w:w="100" w:type="dxa"/>
            <w:vAlign w:val="bottom"/>
          </w:tcPr>
          <w:p>
            <w:pPr>
              <w:spacing w:after="0"/>
              <w:rPr>
                <w:sz w:val="13"/>
                <w:szCs w:val="13"/>
                <w:color w:val="auto"/>
              </w:rPr>
            </w:pPr>
          </w:p>
        </w:tc>
        <w:tc>
          <w:tcPr>
            <w:tcW w:w="5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3"/>
                <w:szCs w:val="13"/>
                <w:color w:val="auto"/>
              </w:rPr>
            </w:pP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Above Index</w:t>
            </w: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zed</w:t>
            </w:r>
          </w:p>
        </w:tc>
        <w:tc>
          <w:tcPr>
            <w:tcW w:w="100" w:type="dxa"/>
            <w:vAlign w:val="bottom"/>
          </w:tcPr>
          <w:p>
            <w:pPr>
              <w:spacing w:after="0"/>
              <w:rPr>
                <w:sz w:val="12"/>
                <w:szCs w:val="12"/>
                <w:color w:val="auto"/>
              </w:rPr>
            </w:pPr>
          </w:p>
        </w:tc>
        <w:tc>
          <w:tcPr>
            <w:tcW w:w="5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2"/>
                <w:szCs w:val="12"/>
                <w:color w:val="auto"/>
              </w:rPr>
            </w:pPr>
          </w:p>
        </w:tc>
        <w:tc>
          <w:tcPr>
            <w:tcW w:w="1040" w:type="dxa"/>
            <w:vAlign w:val="bottom"/>
          </w:tcPr>
          <w:p>
            <w:pPr>
              <w:jc w:val="right"/>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3"/>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4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0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6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20" w:type="dxa"/>
            <w:vAlign w:val="bottom"/>
          </w:tcPr>
          <w:p>
            <w:pPr>
              <w:spacing w:after="0"/>
              <w:rPr>
                <w:sz w:val="15"/>
                <w:szCs w:val="15"/>
                <w:color w:val="auto"/>
              </w:rPr>
            </w:pPr>
          </w:p>
        </w:tc>
        <w:tc>
          <w:tcPr>
            <w:tcW w:w="10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2"/>
        </w:trPr>
        <w:tc>
          <w:tcPr>
            <w:tcW w:w="23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 Investments</w:t>
            </w:r>
          </w:p>
        </w:tc>
        <w:tc>
          <w:tcPr>
            <w:tcW w:w="60" w:type="dxa"/>
            <w:vAlign w:val="bottom"/>
            <w:tcBorders>
              <w:top w:val="single" w:sz="8" w:color="auto"/>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top w:val="single" w:sz="8" w:color="auto"/>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Debt and Equity Investments</w:t>
            </w: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24 Seven Holdco, LLC (15)</w:t>
            </w:r>
          </w:p>
        </w:tc>
        <w:tc>
          <w:tcPr>
            <w:tcW w:w="1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Temporary Help Services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11.13%</w:t>
            </w: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SOFR+7.13%</w:t>
            </w:r>
          </w:p>
        </w:tc>
        <w:tc>
          <w:tcPr>
            <w:tcW w:w="9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1/28/2022</w:t>
            </w:r>
          </w:p>
        </w:tc>
        <w:tc>
          <w:tcPr>
            <w:tcW w:w="9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11/16/2027</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8,317</w:t>
            </w:r>
          </w:p>
        </w:tc>
        <w:tc>
          <w:tcPr>
            <w:tcW w:w="7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$ 8,304</w:t>
            </w:r>
          </w:p>
        </w:tc>
        <w:tc>
          <w:tcPr>
            <w:tcW w:w="600" w:type="dxa"/>
            <w:vAlign w:val="bottom"/>
            <w:gridSpan w:val="2"/>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8,31</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8.4 %</w:t>
            </w:r>
          </w:p>
        </w:tc>
        <w:tc>
          <w:tcPr>
            <w:tcW w:w="0" w:type="dxa"/>
            <w:vAlign w:val="bottom"/>
          </w:tcPr>
          <w:p>
            <w:pPr>
              <w:spacing w:after="0"/>
              <w:rPr>
                <w:sz w:val="1"/>
                <w:szCs w:val="1"/>
                <w:color w:val="auto"/>
              </w:rPr>
            </w:pPr>
          </w:p>
        </w:tc>
      </w:tr>
      <w:tr>
        <w:trPr>
          <w:trHeight w:val="171"/>
        </w:trPr>
        <w:tc>
          <w:tcPr>
            <w:tcW w:w="24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7</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AIDC IntermediateCo 2, LLC (15)</w:t>
            </w:r>
          </w:p>
        </w:tc>
        <w:tc>
          <w:tcPr>
            <w:tcW w:w="172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Computer Systems Design</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00" w:type="dxa"/>
            <w:vAlign w:val="bottom"/>
            <w:gridSpan w:val="2"/>
            <w:vMerge w:val="continue"/>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9.40%</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SOFR+5.50%</w:t>
            </w:r>
          </w:p>
        </w:tc>
        <w:tc>
          <w:tcPr>
            <w:tcW w:w="9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7/22/2022</w:t>
            </w:r>
          </w:p>
        </w:tc>
        <w:tc>
          <w:tcPr>
            <w:tcW w:w="92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7/22/2027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1,925</w:t>
            </w:r>
          </w:p>
        </w:tc>
        <w:tc>
          <w:tcPr>
            <w:tcW w:w="7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1,917</w:t>
            </w:r>
          </w:p>
        </w:tc>
        <w:tc>
          <w:tcPr>
            <w:tcW w:w="600" w:type="dxa"/>
            <w:vAlign w:val="bottom"/>
            <w:gridSpan w:val="2"/>
            <w:shd w:val="clear" w:color="auto" w:fill="CCEEFF"/>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1,84</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71"/>
        </w:trPr>
        <w:tc>
          <w:tcPr>
            <w:tcW w:w="24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9.40%</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SOFR+5.50%</w:t>
            </w: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7/31/2023</w:t>
            </w:r>
          </w:p>
        </w:tc>
        <w:tc>
          <w:tcPr>
            <w:tcW w:w="9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7/22/2027</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33"/>
        </w:trPr>
        <w:tc>
          <w:tcPr>
            <w:tcW w:w="2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1,970</w:t>
            </w:r>
          </w:p>
        </w:tc>
        <w:tc>
          <w:tcPr>
            <w:tcW w:w="7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1,962</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1,89</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71"/>
        </w:trPr>
        <w:tc>
          <w:tcPr>
            <w:tcW w:w="2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Allen Media, LLC (15)</w:t>
            </w:r>
          </w:p>
        </w:tc>
        <w:tc>
          <w:tcPr>
            <w:tcW w:w="172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4"/>
                <w:szCs w:val="14"/>
                <w:color w:val="auto"/>
              </w:rPr>
              <w:t>Cable and Other</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gridSpan w:val="2"/>
            <w:vMerge w:val="continue"/>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Subscription Programming</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9.72%</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SOFR+5.50%</w:t>
            </w:r>
          </w:p>
        </w:tc>
        <w:tc>
          <w:tcPr>
            <w:tcW w:w="9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3/2/2021</w:t>
            </w:r>
          </w:p>
        </w:tc>
        <w:tc>
          <w:tcPr>
            <w:tcW w:w="92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2/10/2027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3,623</w:t>
            </w:r>
          </w:p>
        </w:tc>
        <w:tc>
          <w:tcPr>
            <w:tcW w:w="7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3,623</w:t>
            </w:r>
          </w:p>
        </w:tc>
        <w:tc>
          <w:tcPr>
            <w:tcW w:w="600" w:type="dxa"/>
            <w:vAlign w:val="bottom"/>
            <w:gridSpan w:val="2"/>
            <w:shd w:val="clear" w:color="auto" w:fill="CCEEFF"/>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2,04</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71"/>
        </w:trPr>
        <w:tc>
          <w:tcPr>
            <w:tcW w:w="24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Communication</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Asurion, LLC (14) (15)</w:t>
            </w:r>
          </w:p>
        </w:tc>
        <w:tc>
          <w:tcPr>
            <w:tcW w:w="17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Equipment Repair and</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gridSpan w:val="2"/>
            <w:vMerge w:val="continue"/>
            <w:shd w:val="clear" w:color="auto" w:fill="CCEEFF"/>
          </w:tcPr>
          <w:p>
            <w:pPr>
              <w:spacing w:after="0"/>
              <w:rPr>
                <w:sz w:val="14"/>
                <w:szCs w:val="14"/>
                <w:color w:val="auto"/>
              </w:rPr>
            </w:pPr>
          </w:p>
        </w:tc>
        <w:tc>
          <w:tcPr>
            <w:tcW w:w="1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Maintenance</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2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8.07%</w:t>
            </w: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SOFR+4.25%</w:t>
            </w:r>
          </w:p>
        </w:tc>
        <w:tc>
          <w:tcPr>
            <w:tcW w:w="9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10/28/2025</w:t>
            </w:r>
          </w:p>
        </w:tc>
        <w:tc>
          <w:tcPr>
            <w:tcW w:w="9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9/19/2030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1,989</w:t>
            </w:r>
          </w:p>
        </w:tc>
        <w:tc>
          <w:tcPr>
            <w:tcW w:w="7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1,952</w:t>
            </w:r>
          </w:p>
        </w:tc>
        <w:tc>
          <w:tcPr>
            <w:tcW w:w="600" w:type="dxa"/>
            <w:vAlign w:val="bottom"/>
            <w:gridSpan w:val="2"/>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1,94</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71"/>
        </w:trPr>
        <w:tc>
          <w:tcPr>
            <w:tcW w:w="24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Avison Young Inc. (16)</w:t>
            </w:r>
          </w:p>
        </w:tc>
        <w:tc>
          <w:tcPr>
            <w:tcW w:w="172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4"/>
                <w:szCs w:val="14"/>
                <w:color w:val="auto"/>
              </w:rPr>
              <w:t>Nonresidential Property</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gridSpan w:val="2"/>
            <w:vMerge w:val="continue"/>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Managers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(11) (15)</w:t>
            </w: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SOFR+8.50%</w:t>
            </w:r>
          </w:p>
        </w:tc>
        <w:tc>
          <w:tcPr>
            <w:tcW w:w="9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7/29/2026</w:t>
            </w:r>
          </w:p>
        </w:tc>
        <w:tc>
          <w:tcPr>
            <w:tcW w:w="9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12/12/2027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108</w:t>
            </w:r>
          </w:p>
        </w:tc>
        <w:tc>
          <w:tcPr>
            <w:tcW w:w="7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108</w:t>
            </w: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62"/>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Lien Debt (11) (15)</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SOFR+8.50%</w:t>
            </w: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12/18/2025</w:t>
            </w:r>
          </w:p>
        </w:tc>
        <w:tc>
          <w:tcPr>
            <w:tcW w:w="9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12/12/2027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89</w:t>
            </w:r>
          </w:p>
        </w:tc>
        <w:tc>
          <w:tcPr>
            <w:tcW w:w="7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89</w:t>
            </w: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62"/>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(11) (15)</w:t>
            </w: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SOFR+8.50%</w:t>
            </w:r>
          </w:p>
        </w:tc>
        <w:tc>
          <w:tcPr>
            <w:tcW w:w="9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12/18/2025</w:t>
            </w:r>
          </w:p>
        </w:tc>
        <w:tc>
          <w:tcPr>
            <w:tcW w:w="9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12/12/2027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37</w:t>
            </w:r>
          </w:p>
        </w:tc>
        <w:tc>
          <w:tcPr>
            <w:tcW w:w="7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37</w:t>
            </w: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2"/>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Lien Debt (11) (15)</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11.36%</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SOFR+7.35%</w:t>
            </w: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12/18/2025</w:t>
            </w:r>
          </w:p>
        </w:tc>
        <w:tc>
          <w:tcPr>
            <w:tcW w:w="9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12/12/2027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242</w:t>
            </w:r>
          </w:p>
        </w:tc>
        <w:tc>
          <w:tcPr>
            <w:tcW w:w="7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242</w:t>
            </w: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240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62"/>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(11) (15)</w:t>
            </w: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11.36%</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SOFR+7.35%</w:t>
            </w:r>
          </w:p>
        </w:tc>
        <w:tc>
          <w:tcPr>
            <w:tcW w:w="9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8/27/2026</w:t>
            </w:r>
          </w:p>
        </w:tc>
        <w:tc>
          <w:tcPr>
            <w:tcW w:w="9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12/12/2027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751</w:t>
            </w:r>
          </w:p>
        </w:tc>
        <w:tc>
          <w:tcPr>
            <w:tcW w:w="7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605</w:t>
            </w: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0" w:type="dxa"/>
            <w:vAlign w:val="bottom"/>
          </w:tcPr>
          <w:p>
            <w:pPr>
              <w:spacing w:after="0"/>
              <w:rPr>
                <w:sz w:val="1"/>
                <w:szCs w:val="1"/>
                <w:color w:val="auto"/>
              </w:rPr>
            </w:pPr>
          </w:p>
        </w:tc>
      </w:tr>
      <w:tr>
        <w:trPr>
          <w:trHeight w:val="162"/>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Lien Debt (6) (11) (15)</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11.62%</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SOFR+7.50%</w:t>
            </w: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11/25/2021</w:t>
            </w:r>
          </w:p>
        </w:tc>
        <w:tc>
          <w:tcPr>
            <w:tcW w:w="9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3/12/2029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1,236</w:t>
            </w:r>
          </w:p>
        </w:tc>
        <w:tc>
          <w:tcPr>
            <w:tcW w:w="7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1,236</w:t>
            </w: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39"/>
        </w:trPr>
        <w:tc>
          <w:tcPr>
            <w:tcW w:w="240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Common Equity (1,185 Class B units)</w:t>
            </w: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3/12/2024</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(10) (13) (15)</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Preferred Equity (1,715 Class A</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3/12/2024</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6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1,270</w:t>
            </w:r>
          </w:p>
        </w:tc>
        <w:tc>
          <w:tcPr>
            <w:tcW w:w="100" w:type="dxa"/>
            <w:vAlign w:val="bottom"/>
          </w:tcPr>
          <w:p>
            <w:pPr>
              <w:spacing w:after="0"/>
              <w:rPr>
                <w:sz w:val="12"/>
                <w:szCs w:val="12"/>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8"/>
        </w:trPr>
        <w:tc>
          <w:tcPr>
            <w:tcW w:w="240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4"/>
                <w:szCs w:val="14"/>
                <w:color w:val="auto"/>
              </w:rPr>
              <w:t>units) 12.5% PIK (10) (13) (15)</w:t>
            </w: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vMerge w:val="continue"/>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2,463</w:t>
            </w:r>
          </w:p>
        </w:tc>
        <w:tc>
          <w:tcPr>
            <w:tcW w:w="7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4,987</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1,28</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171"/>
        </w:trPr>
        <w:tc>
          <w:tcPr>
            <w:tcW w:w="2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4"/>
                <w:szCs w:val="14"/>
                <w:color w:val="auto"/>
              </w:rPr>
              <w:t>Outpatient Mental Health</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BayMark Health Services, Inc. (15)</w:t>
            </w:r>
          </w:p>
        </w:tc>
        <w:tc>
          <w:tcPr>
            <w:tcW w:w="17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Substance Abuse</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gridSpan w:val="2"/>
            <w:vMerge w:val="continue"/>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Centers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Preferred Equity (752,113 Class A</w:t>
            </w:r>
          </w:p>
        </w:tc>
        <w:tc>
          <w:tcPr>
            <w:tcW w:w="14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9/30/2026</w:t>
            </w: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752</w:t>
            </w:r>
          </w:p>
        </w:tc>
        <w:tc>
          <w:tcPr>
            <w:tcW w:w="60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107</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71"/>
        </w:trPr>
        <w:tc>
          <w:tcPr>
            <w:tcW w:w="2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units) 11.5% PIK (10)</w:t>
            </w: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Common Equity (3,695 Class B units)</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9/30/2026</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8,140</w:t>
            </w:r>
          </w:p>
        </w:tc>
        <w:tc>
          <w:tcPr>
            <w:tcW w:w="100" w:type="dxa"/>
            <w:vAlign w:val="bottom"/>
          </w:tcPr>
          <w:p>
            <w:pPr>
              <w:spacing w:after="0"/>
              <w:rPr>
                <w:sz w:val="12"/>
                <w:szCs w:val="12"/>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8"/>
        </w:trPr>
        <w:tc>
          <w:tcPr>
            <w:tcW w:w="23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(10)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8,892</w:t>
            </w:r>
          </w:p>
        </w:tc>
        <w:tc>
          <w:tcPr>
            <w:tcW w:w="100" w:type="dxa"/>
            <w:vAlign w:val="bottom"/>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107</w:t>
            </w:r>
          </w:p>
        </w:tc>
        <w:tc>
          <w:tcPr>
            <w:tcW w:w="120" w:type="dxa"/>
            <w:vAlign w:val="bottom"/>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39"/>
        </w:trPr>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4"/>
                <w:szCs w:val="14"/>
                <w:color w:val="auto"/>
              </w:rPr>
              <w:t>Computer and Computer</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Blackhawk Network Holdings, Inc. (14)</w:t>
            </w:r>
          </w:p>
        </w:tc>
        <w:tc>
          <w:tcPr>
            <w:tcW w:w="17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Peripheral Equipment and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00" w:type="dxa"/>
            <w:vAlign w:val="bottom"/>
            <w:gridSpan w:val="2"/>
            <w:vMerge w:val="continue"/>
          </w:tcPr>
          <w:p>
            <w:pPr>
              <w:spacing w:after="0"/>
              <w:rPr>
                <w:sz w:val="12"/>
                <w:szCs w:val="12"/>
                <w:color w:val="auto"/>
              </w:rPr>
            </w:pPr>
          </w:p>
        </w:tc>
        <w:tc>
          <w:tcPr>
            <w:tcW w:w="1720" w:type="dxa"/>
            <w:vAlign w:val="bottom"/>
            <w:gridSpan w:val="2"/>
          </w:tcPr>
          <w:p>
            <w:pPr>
              <w:ind w:left="120"/>
              <w:spacing w:after="0" w:line="147" w:lineRule="exact"/>
              <w:rPr>
                <w:sz w:val="20"/>
                <w:szCs w:val="20"/>
                <w:color w:val="auto"/>
              </w:rPr>
            </w:pPr>
            <w:r>
              <w:rPr>
                <w:rFonts w:ascii="Times New Roman" w:cs="Times New Roman" w:eastAsia="Times New Roman" w:hAnsi="Times New Roman"/>
                <w:sz w:val="14"/>
                <w:szCs w:val="14"/>
                <w:color w:val="auto"/>
              </w:rPr>
              <w:t>Software Merchant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(15)</w:t>
            </w:r>
          </w:p>
        </w:tc>
        <w:tc>
          <w:tcPr>
            <w:tcW w:w="60" w:type="dxa"/>
            <w:vAlign w:val="bottom"/>
          </w:tcPr>
          <w:p>
            <w:pPr>
              <w:spacing w:after="0"/>
              <w:rPr>
                <w:sz w:val="15"/>
                <w:szCs w:val="15"/>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Wholesalers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SOFR+3.50%</w:t>
            </w:r>
          </w:p>
        </w:tc>
        <w:tc>
          <w:tcPr>
            <w:tcW w:w="9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3/25/2026</w:t>
            </w:r>
          </w:p>
        </w:tc>
        <w:tc>
          <w:tcPr>
            <w:tcW w:w="9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3/12/2029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496</w:t>
            </w:r>
          </w:p>
        </w:tc>
        <w:tc>
          <w:tcPr>
            <w:tcW w:w="7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492</w:t>
            </w: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321945</wp:posOffset>
            </wp:positionV>
            <wp:extent cx="71831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504" w:right="318"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3"/>
                <w:szCs w:val="13"/>
                <w:color w:val="auto"/>
              </w:rPr>
            </w:pPr>
          </w:p>
        </w:tc>
        <w:tc>
          <w:tcPr>
            <w:tcW w:w="6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Amorti</w:t>
            </w:r>
          </w:p>
        </w:tc>
        <w:tc>
          <w:tcPr>
            <w:tcW w:w="100" w:type="dxa"/>
            <w:vAlign w:val="bottom"/>
          </w:tcPr>
          <w:p>
            <w:pPr>
              <w:spacing w:after="0"/>
              <w:rPr>
                <w:sz w:val="13"/>
                <w:szCs w:val="13"/>
                <w:color w:val="auto"/>
              </w:rPr>
            </w:pPr>
          </w:p>
        </w:tc>
        <w:tc>
          <w:tcPr>
            <w:tcW w:w="5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3"/>
                <w:szCs w:val="13"/>
                <w:color w:val="auto"/>
              </w:rPr>
            </w:pP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4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Above Index</w:t>
            </w: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zed</w:t>
            </w:r>
          </w:p>
        </w:tc>
        <w:tc>
          <w:tcPr>
            <w:tcW w:w="100" w:type="dxa"/>
            <w:vAlign w:val="bottom"/>
          </w:tcPr>
          <w:p>
            <w:pPr>
              <w:spacing w:after="0"/>
              <w:rPr>
                <w:sz w:val="12"/>
                <w:szCs w:val="12"/>
                <w:color w:val="auto"/>
              </w:rPr>
            </w:pPr>
          </w:p>
        </w:tc>
        <w:tc>
          <w:tcPr>
            <w:tcW w:w="5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2"/>
                <w:szCs w:val="12"/>
                <w:color w:val="auto"/>
              </w:rPr>
            </w:pPr>
          </w:p>
        </w:tc>
        <w:tc>
          <w:tcPr>
            <w:tcW w:w="1040" w:type="dxa"/>
            <w:vAlign w:val="bottom"/>
          </w:tcPr>
          <w:p>
            <w:pPr>
              <w:jc w:val="right"/>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3"/>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4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0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6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20" w:type="dxa"/>
            <w:vAlign w:val="bottom"/>
          </w:tcPr>
          <w:p>
            <w:pPr>
              <w:spacing w:after="0"/>
              <w:rPr>
                <w:sz w:val="15"/>
                <w:szCs w:val="15"/>
                <w:color w:val="auto"/>
              </w:rPr>
            </w:pPr>
          </w:p>
        </w:tc>
        <w:tc>
          <w:tcPr>
            <w:tcW w:w="10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33"/>
        </w:trPr>
        <w:tc>
          <w:tcPr>
            <w:tcW w:w="2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Services for the Elderly</w:t>
            </w:r>
          </w:p>
        </w:tc>
        <w:tc>
          <w:tcPr>
            <w:tcW w:w="10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Boca Home Care Holdings, Inc. (20)</w:t>
            </w:r>
          </w:p>
        </w:tc>
        <w:tc>
          <w:tcPr>
            <w:tcW w:w="17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Persons with</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vMerge w:val="continue"/>
            <w:shd w:val="clear" w:color="auto" w:fill="CCEEFF"/>
          </w:tcPr>
          <w:p>
            <w:pPr>
              <w:spacing w:after="0"/>
              <w:rPr>
                <w:sz w:val="14"/>
                <w:szCs w:val="14"/>
                <w:color w:val="auto"/>
              </w:rPr>
            </w:pPr>
          </w:p>
        </w:tc>
        <w:tc>
          <w:tcPr>
            <w:tcW w:w="1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Disabilities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SOFR+6.50%</w:t>
            </w:r>
          </w:p>
        </w:tc>
        <w:tc>
          <w:tcPr>
            <w:tcW w:w="9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2/25/2022</w:t>
            </w:r>
          </w:p>
        </w:tc>
        <w:tc>
          <w:tcPr>
            <w:tcW w:w="9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2/25/2029</w:t>
            </w:r>
          </w:p>
        </w:tc>
        <w:tc>
          <w:tcPr>
            <w:tcW w:w="9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8,803</w:t>
            </w:r>
          </w:p>
        </w:tc>
        <w:tc>
          <w:tcPr>
            <w:tcW w:w="7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8,766</w:t>
            </w:r>
          </w:p>
        </w:tc>
        <w:tc>
          <w:tcPr>
            <w:tcW w:w="600" w:type="dxa"/>
            <w:vAlign w:val="bottom"/>
            <w:gridSpan w:val="2"/>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8,80</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0" w:type="dxa"/>
            <w:vAlign w:val="bottom"/>
          </w:tcPr>
          <w:p>
            <w:pPr>
              <w:spacing w:after="0"/>
              <w:rPr>
                <w:sz w:val="1"/>
                <w:szCs w:val="1"/>
                <w:color w:val="auto"/>
              </w:rPr>
            </w:pPr>
          </w:p>
        </w:tc>
      </w:tr>
      <w:tr>
        <w:trPr>
          <w:trHeight w:val="171"/>
        </w:trPr>
        <w:tc>
          <w:tcPr>
            <w:tcW w:w="2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SOFR+6.50%</w:t>
            </w:r>
          </w:p>
        </w:tc>
        <w:tc>
          <w:tcPr>
            <w:tcW w:w="9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2/25/2022</w:t>
            </w:r>
          </w:p>
        </w:tc>
        <w:tc>
          <w:tcPr>
            <w:tcW w:w="9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2/25/2029</w:t>
            </w:r>
          </w:p>
        </w:tc>
        <w:tc>
          <w:tcPr>
            <w:tcW w:w="9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226</w:t>
            </w:r>
          </w:p>
        </w:tc>
        <w:tc>
          <w:tcPr>
            <w:tcW w:w="7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224</w:t>
            </w: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39"/>
        </w:trPr>
        <w:tc>
          <w:tcPr>
            <w:tcW w:w="24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Common Equity (1,290 Class A units)</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2/25/2022</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1,290</w:t>
            </w:r>
          </w:p>
        </w:tc>
        <w:tc>
          <w:tcPr>
            <w:tcW w:w="6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734</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0" w:type="dxa"/>
            <w:vAlign w:val="bottom"/>
          </w:tcPr>
          <w:p>
            <w:pPr>
              <w:spacing w:after="0"/>
              <w:rPr>
                <w:sz w:val="1"/>
                <w:szCs w:val="1"/>
                <w:color w:val="auto"/>
              </w:rPr>
            </w:pPr>
          </w:p>
        </w:tc>
      </w:tr>
      <w:tr>
        <w:trPr>
          <w:trHeight w:val="171"/>
        </w:trPr>
        <w:tc>
          <w:tcPr>
            <w:tcW w:w="2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Preferred Equity (3,446 Class A</w:t>
            </w: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3/3/2023</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12"/>
                <w:szCs w:val="12"/>
                <w:color w:val="auto"/>
              </w:rPr>
            </w:pPr>
          </w:p>
        </w:tc>
        <w:tc>
          <w:tcPr>
            <w:tcW w:w="6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vMerge w:val="restart"/>
            <w:shd w:val="clear" w:color="auto" w:fill="CCEEFF"/>
          </w:tcPr>
          <w:p>
            <w:pPr>
              <w:spacing w:after="0"/>
              <w:rPr>
                <w:sz w:val="12"/>
                <w:szCs w:val="12"/>
                <w:color w:val="auto"/>
              </w:rPr>
            </w:pPr>
          </w:p>
        </w:tc>
        <w:tc>
          <w:tcPr>
            <w:tcW w:w="5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368</w:t>
            </w:r>
          </w:p>
        </w:tc>
        <w:tc>
          <w:tcPr>
            <w:tcW w:w="120" w:type="dxa"/>
            <w:vAlign w:val="bottom"/>
            <w:vMerge w:val="restart"/>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58"/>
        </w:trPr>
        <w:tc>
          <w:tcPr>
            <w:tcW w:w="2400" w:type="dxa"/>
            <w:vAlign w:val="bottom"/>
            <w:tcBorders>
              <w:bottom w:val="single" w:sz="8" w:color="CCEEFF"/>
            </w:tcBorders>
            <w:shd w:val="clear" w:color="auto" w:fill="CCEEFF"/>
          </w:tcPr>
          <w:p>
            <w:pPr>
              <w:ind w:left="100"/>
              <w:spacing w:after="0" w:line="158" w:lineRule="exact"/>
              <w:rPr>
                <w:sz w:val="20"/>
                <w:szCs w:val="20"/>
                <w:color w:val="auto"/>
              </w:rPr>
            </w:pPr>
            <w:r>
              <w:rPr>
                <w:rFonts w:ascii="Times New Roman" w:cs="Times New Roman" w:eastAsia="Times New Roman" w:hAnsi="Times New Roman"/>
                <w:sz w:val="14"/>
                <w:szCs w:val="14"/>
                <w:color w:val="auto"/>
              </w:rPr>
              <w:t>Units), 12% cash / 2% PIK</w:t>
            </w:r>
          </w:p>
        </w:tc>
        <w:tc>
          <w:tcPr>
            <w:tcW w:w="14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vMerge w:val="continue"/>
            <w:shd w:val="clear" w:color="auto" w:fill="CCEEFF"/>
          </w:tcPr>
          <w:p>
            <w:pPr>
              <w:spacing w:after="0"/>
              <w:rPr>
                <w:sz w:val="13"/>
                <w:szCs w:val="13"/>
                <w:color w:val="auto"/>
              </w:rPr>
            </w:pPr>
          </w:p>
        </w:tc>
        <w:tc>
          <w:tcPr>
            <w:tcW w:w="10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9,029</w:t>
            </w:r>
          </w:p>
        </w:tc>
        <w:tc>
          <w:tcPr>
            <w:tcW w:w="700" w:type="dxa"/>
            <w:vAlign w:val="bottom"/>
            <w:gridSpan w:val="2"/>
          </w:tcPr>
          <w:p>
            <w:pPr>
              <w:jc w:val="right"/>
              <w:ind w:right="68"/>
              <w:spacing w:after="0" w:line="119" w:lineRule="exact"/>
              <w:rPr>
                <w:sz w:val="20"/>
                <w:szCs w:val="20"/>
                <w:color w:val="auto"/>
              </w:rPr>
            </w:pPr>
            <w:r>
              <w:rPr>
                <w:rFonts w:ascii="Times New Roman" w:cs="Times New Roman" w:eastAsia="Times New Roman" w:hAnsi="Times New Roman"/>
                <w:sz w:val="13"/>
                <w:szCs w:val="13"/>
                <w:color w:val="auto"/>
              </w:rPr>
              <w:t>10,62</w:t>
            </w:r>
          </w:p>
        </w:tc>
        <w:tc>
          <w:tcPr>
            <w:tcW w:w="600" w:type="dxa"/>
            <w:vAlign w:val="bottom"/>
            <w:gridSpan w:val="2"/>
          </w:tcPr>
          <w:p>
            <w:pPr>
              <w:jc w:val="right"/>
              <w:ind w:right="48"/>
              <w:spacing w:after="0" w:line="119" w:lineRule="exact"/>
              <w:rPr>
                <w:sz w:val="20"/>
                <w:szCs w:val="20"/>
                <w:color w:val="auto"/>
              </w:rPr>
            </w:pPr>
            <w:r>
              <w:rPr>
                <w:rFonts w:ascii="Times New Roman" w:cs="Times New Roman" w:eastAsia="Times New Roman" w:hAnsi="Times New Roman"/>
                <w:sz w:val="13"/>
                <w:szCs w:val="13"/>
                <w:color w:val="auto"/>
              </w:rPr>
              <w:t>10,1</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Clevertech Bidco, LLC</w:t>
            </w:r>
          </w:p>
        </w:tc>
        <w:tc>
          <w:tcPr>
            <w:tcW w:w="1720" w:type="dxa"/>
            <w:vAlign w:val="bottom"/>
            <w:gridSpan w:val="2"/>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Commodity Contracts</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vMerge w:val="continue"/>
            <w:shd w:val="clear" w:color="auto" w:fill="CCEEFF"/>
          </w:tcPr>
          <w:p>
            <w:pPr>
              <w:spacing w:after="0"/>
              <w:rPr>
                <w:sz w:val="14"/>
                <w:szCs w:val="14"/>
                <w:color w:val="auto"/>
              </w:rPr>
            </w:pPr>
          </w:p>
        </w:tc>
        <w:tc>
          <w:tcPr>
            <w:tcW w:w="1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Dealing</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10.97%</w:t>
            </w: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SOFR+6.75%</w:t>
            </w:r>
          </w:p>
        </w:tc>
        <w:tc>
          <w:tcPr>
            <w:tcW w:w="9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11/3/2023</w:t>
            </w:r>
          </w:p>
        </w:tc>
        <w:tc>
          <w:tcPr>
            <w:tcW w:w="9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12/30/2027</w:t>
            </w:r>
          </w:p>
        </w:tc>
        <w:tc>
          <w:tcPr>
            <w:tcW w:w="9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3,109</w:t>
            </w:r>
          </w:p>
        </w:tc>
        <w:tc>
          <w:tcPr>
            <w:tcW w:w="7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3,080</w:t>
            </w:r>
          </w:p>
        </w:tc>
        <w:tc>
          <w:tcPr>
            <w:tcW w:w="600" w:type="dxa"/>
            <w:vAlign w:val="bottom"/>
            <w:gridSpan w:val="2"/>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2,87</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r>
        <w:trPr>
          <w:trHeight w:val="171"/>
        </w:trPr>
        <w:tc>
          <w:tcPr>
            <w:tcW w:w="2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4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12.75%</w:t>
            </w: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Prime+5.75%</w:t>
            </w:r>
          </w:p>
        </w:tc>
        <w:tc>
          <w:tcPr>
            <w:tcW w:w="96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11/3/2023</w:t>
            </w:r>
          </w:p>
        </w:tc>
        <w:tc>
          <w:tcPr>
            <w:tcW w:w="92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12/30/2027</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3,327</w:t>
            </w:r>
          </w:p>
        </w:tc>
        <w:tc>
          <w:tcPr>
            <w:tcW w:w="7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3,295</w:t>
            </w:r>
          </w:p>
        </w:tc>
        <w:tc>
          <w:tcPr>
            <w:tcW w:w="600" w:type="dxa"/>
            <w:vAlign w:val="bottom"/>
            <w:gridSpan w:val="2"/>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3,07</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Other Justice, Public</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Constellis Holdings, LLC (10)</w:t>
            </w:r>
          </w:p>
        </w:tc>
        <w:tc>
          <w:tcPr>
            <w:tcW w:w="17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Order, and Safety</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vMerge w:val="continue"/>
            <w:shd w:val="clear" w:color="auto" w:fill="CCEEFF"/>
          </w:tcPr>
          <w:p>
            <w:pPr>
              <w:spacing w:after="0"/>
              <w:rPr>
                <w:sz w:val="14"/>
                <w:szCs w:val="14"/>
                <w:color w:val="auto"/>
              </w:rPr>
            </w:pPr>
          </w:p>
        </w:tc>
        <w:tc>
          <w:tcPr>
            <w:tcW w:w="1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Activities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Common Equity (20,628 common</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3/27/2020</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703</w:t>
            </w:r>
          </w:p>
        </w:tc>
        <w:tc>
          <w:tcPr>
            <w:tcW w:w="6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ESP Associates, Inc.</w:t>
            </w:r>
          </w:p>
        </w:tc>
        <w:tc>
          <w:tcPr>
            <w:tcW w:w="172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4"/>
                <w:szCs w:val="14"/>
                <w:color w:val="auto"/>
              </w:rPr>
              <w:t>Other Heavy and Civil</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vMerge w:val="continue"/>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Engineering Construction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SOFR+5.25%</w:t>
            </w:r>
          </w:p>
        </w:tc>
        <w:tc>
          <w:tcPr>
            <w:tcW w:w="9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4/14/2026</w:t>
            </w:r>
          </w:p>
        </w:tc>
        <w:tc>
          <w:tcPr>
            <w:tcW w:w="9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4/14/2031</w:t>
            </w:r>
          </w:p>
        </w:tc>
        <w:tc>
          <w:tcPr>
            <w:tcW w:w="9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349</w:t>
            </w:r>
          </w:p>
        </w:tc>
        <w:tc>
          <w:tcPr>
            <w:tcW w:w="7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346</w:t>
            </w: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 (Delayed Draw) (5) (15)</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9.09%</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SOFR+5.25%</w:t>
            </w: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4/14/2026</w:t>
            </w:r>
          </w:p>
        </w:tc>
        <w:tc>
          <w:tcPr>
            <w:tcW w:w="9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4/14/2031</w:t>
            </w: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106</w:t>
            </w:r>
          </w:p>
        </w:tc>
        <w:tc>
          <w:tcPr>
            <w:tcW w:w="7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105</w:t>
            </w: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62"/>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4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n/m (18)</w:t>
            </w: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SOFR+5.25%</w:t>
            </w:r>
          </w:p>
        </w:tc>
        <w:tc>
          <w:tcPr>
            <w:tcW w:w="96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4/14/2026</w:t>
            </w:r>
          </w:p>
        </w:tc>
        <w:tc>
          <w:tcPr>
            <w:tcW w:w="92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4/14/2031</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455</w:t>
            </w:r>
          </w:p>
        </w:tc>
        <w:tc>
          <w:tcPr>
            <w:tcW w:w="70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451</w:t>
            </w:r>
          </w:p>
        </w:tc>
        <w:tc>
          <w:tcPr>
            <w:tcW w:w="6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451</w:t>
            </w:r>
          </w:p>
        </w:tc>
        <w:tc>
          <w:tcPr>
            <w:tcW w:w="11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0.5 %</w:t>
            </w:r>
          </w:p>
        </w:tc>
        <w:tc>
          <w:tcPr>
            <w:tcW w:w="0" w:type="dxa"/>
            <w:vAlign w:val="bottom"/>
          </w:tcPr>
          <w:p>
            <w:pPr>
              <w:spacing w:after="0"/>
              <w:rPr>
                <w:sz w:val="1"/>
                <w:szCs w:val="1"/>
                <w:color w:val="auto"/>
              </w:rPr>
            </w:pPr>
          </w:p>
        </w:tc>
      </w:tr>
      <w:tr>
        <w:trPr>
          <w:trHeight w:val="139"/>
        </w:trPr>
        <w:tc>
          <w:tcPr>
            <w:tcW w:w="2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Excelin Home Health, LLC (6)</w:t>
            </w:r>
          </w:p>
        </w:tc>
        <w:tc>
          <w:tcPr>
            <w:tcW w:w="1720" w:type="dxa"/>
            <w:vAlign w:val="bottom"/>
            <w:gridSpan w:val="2"/>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Home Health Care</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vMerge w:val="continue"/>
            <w:shd w:val="clear" w:color="auto" w:fill="CCEEFF"/>
          </w:tcPr>
          <w:p>
            <w:pPr>
              <w:spacing w:after="0"/>
              <w:rPr>
                <w:sz w:val="14"/>
                <w:szCs w:val="14"/>
                <w:color w:val="auto"/>
              </w:rPr>
            </w:pPr>
          </w:p>
        </w:tc>
        <w:tc>
          <w:tcPr>
            <w:tcW w:w="1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Second Lien Debt</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4"/>
                <w:szCs w:val="14"/>
                <w:color w:val="auto"/>
              </w:rPr>
              <w:t>18.00%</w:t>
            </w:r>
          </w:p>
        </w:tc>
        <w:tc>
          <w:tcPr>
            <w:tcW w:w="10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10/25/2018</w:t>
            </w:r>
          </w:p>
        </w:tc>
        <w:tc>
          <w:tcPr>
            <w:tcW w:w="920" w:type="dxa"/>
            <w:vAlign w:val="bottom"/>
            <w:gridSpan w:val="2"/>
          </w:tcPr>
          <w:p>
            <w:pPr>
              <w:jc w:val="right"/>
              <w:ind w:right="68"/>
              <w:spacing w:after="0" w:line="139" w:lineRule="exact"/>
              <w:rPr>
                <w:sz w:val="20"/>
                <w:szCs w:val="20"/>
                <w:color w:val="auto"/>
              </w:rPr>
            </w:pPr>
            <w:r>
              <w:rPr>
                <w:rFonts w:ascii="Times New Roman" w:cs="Times New Roman" w:eastAsia="Times New Roman" w:hAnsi="Times New Roman"/>
                <w:sz w:val="14"/>
                <w:szCs w:val="14"/>
                <w:color w:val="auto"/>
              </w:rPr>
              <w:t>10/1/2026</w:t>
            </w:r>
          </w:p>
        </w:tc>
        <w:tc>
          <w:tcPr>
            <w:tcW w:w="9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8,135</w:t>
            </w:r>
          </w:p>
        </w:tc>
        <w:tc>
          <w:tcPr>
            <w:tcW w:w="7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6,765</w:t>
            </w:r>
          </w:p>
        </w:tc>
        <w:tc>
          <w:tcPr>
            <w:tcW w:w="6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976</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71"/>
        </w:trPr>
        <w:tc>
          <w:tcPr>
            <w:tcW w:w="2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PIK</w:t>
            </w: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(21)</w:t>
            </w:r>
          </w:p>
        </w:tc>
        <w:tc>
          <w:tcPr>
            <w:tcW w:w="9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400" w:type="dxa"/>
            <w:vAlign w:val="bottom"/>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Heritage Grocers Group, LLC (F/K/A</w:t>
            </w:r>
          </w:p>
        </w:tc>
        <w:tc>
          <w:tcPr>
            <w:tcW w:w="172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4"/>
                <w:szCs w:val="14"/>
                <w:color w:val="auto"/>
              </w:rPr>
              <w:t>Supermarkets and Other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i w:val="1"/>
                <w:iCs w:val="1"/>
                <w:color w:val="auto"/>
              </w:rPr>
              <w:t>Tony's Fresh Market / Cardenas</w:t>
            </w:r>
          </w:p>
        </w:tc>
        <w:tc>
          <w:tcPr>
            <w:tcW w:w="17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Grocery (except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00" w:type="dxa"/>
            <w:vAlign w:val="bottom"/>
          </w:tcPr>
          <w:p>
            <w:pPr>
              <w:ind w:left="100"/>
              <w:spacing w:after="0"/>
              <w:rPr>
                <w:sz w:val="20"/>
                <w:szCs w:val="20"/>
                <w:color w:val="auto"/>
              </w:rPr>
            </w:pPr>
            <w:r>
              <w:rPr>
                <w:rFonts w:ascii="Times New Roman" w:cs="Times New Roman" w:eastAsia="Times New Roman" w:hAnsi="Times New Roman"/>
                <w:sz w:val="14"/>
                <w:szCs w:val="14"/>
                <w:i w:val="1"/>
                <w:iCs w:val="1"/>
                <w:color w:val="auto"/>
              </w:rPr>
              <w:t>Markets) (14) (15)</w:t>
            </w: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Convenience) Stores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SOFR+6.75%</w:t>
            </w:r>
          </w:p>
        </w:tc>
        <w:tc>
          <w:tcPr>
            <w:tcW w:w="9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7/20/2022</w:t>
            </w:r>
          </w:p>
        </w:tc>
        <w:tc>
          <w:tcPr>
            <w:tcW w:w="92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8/1/2029</w:t>
            </w:r>
          </w:p>
        </w:tc>
        <w:tc>
          <w:tcPr>
            <w:tcW w:w="9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8,839</w:t>
            </w:r>
          </w:p>
        </w:tc>
        <w:tc>
          <w:tcPr>
            <w:tcW w:w="7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8,725</w:t>
            </w:r>
          </w:p>
        </w:tc>
        <w:tc>
          <w:tcPr>
            <w:tcW w:w="600" w:type="dxa"/>
            <w:vAlign w:val="bottom"/>
            <w:gridSpan w:val="2"/>
            <w:shd w:val="clear" w:color="auto" w:fill="CCEEFF"/>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6,13</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0" w:type="dxa"/>
            <w:vAlign w:val="bottom"/>
          </w:tcPr>
          <w:p>
            <w:pPr>
              <w:spacing w:after="0"/>
              <w:rPr>
                <w:sz w:val="1"/>
                <w:szCs w:val="1"/>
                <w:color w:val="auto"/>
              </w:rPr>
            </w:pPr>
          </w:p>
        </w:tc>
      </w:tr>
      <w:tr>
        <w:trPr>
          <w:trHeight w:val="171"/>
        </w:trPr>
        <w:tc>
          <w:tcPr>
            <w:tcW w:w="24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7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Services for the Elderly</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Honor HN Buyer Inc.</w:t>
            </w:r>
          </w:p>
        </w:tc>
        <w:tc>
          <w:tcPr>
            <w:tcW w:w="17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Persons with</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vMerge w:val="continue"/>
            <w:shd w:val="clear" w:color="auto" w:fill="CCEEFF"/>
          </w:tcPr>
          <w:p>
            <w:pPr>
              <w:spacing w:after="0"/>
              <w:rPr>
                <w:sz w:val="14"/>
                <w:szCs w:val="14"/>
                <w:color w:val="auto"/>
              </w:rPr>
            </w:pPr>
          </w:p>
        </w:tc>
        <w:tc>
          <w:tcPr>
            <w:tcW w:w="1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Disabilities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SOFR+5.75%</w:t>
            </w: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10/15/2021</w:t>
            </w:r>
          </w:p>
        </w:tc>
        <w:tc>
          <w:tcPr>
            <w:tcW w:w="9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10/15/2027</w:t>
            </w: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984</w:t>
            </w:r>
          </w:p>
        </w:tc>
        <w:tc>
          <w:tcPr>
            <w:tcW w:w="7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981</w:t>
            </w: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984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First Lien Debt (15)</w:t>
            </w: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9.97%</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SOFR+5.75%</w:t>
            </w:r>
          </w:p>
        </w:tc>
        <w:tc>
          <w:tcPr>
            <w:tcW w:w="96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10/15/2021</w:t>
            </w:r>
          </w:p>
        </w:tc>
        <w:tc>
          <w:tcPr>
            <w:tcW w:w="92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10/15/2027</w:t>
            </w:r>
          </w:p>
        </w:tc>
        <w:tc>
          <w:tcPr>
            <w:tcW w:w="9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70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613</w:t>
            </w:r>
          </w:p>
        </w:tc>
        <w:tc>
          <w:tcPr>
            <w:tcW w:w="60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1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0.6 %</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SOFR+5.75%</w:t>
            </w: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3/31/2023</w:t>
            </w:r>
          </w:p>
        </w:tc>
        <w:tc>
          <w:tcPr>
            <w:tcW w:w="9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10/15/2027</w:t>
            </w: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693</w:t>
            </w:r>
          </w:p>
        </w:tc>
        <w:tc>
          <w:tcPr>
            <w:tcW w:w="7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680</w:t>
            </w: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693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SOFR+5.75%</w:t>
            </w:r>
          </w:p>
        </w:tc>
        <w:tc>
          <w:tcPr>
            <w:tcW w:w="9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10/15/2024</w:t>
            </w:r>
          </w:p>
        </w:tc>
        <w:tc>
          <w:tcPr>
            <w:tcW w:w="9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10/15/2027</w:t>
            </w:r>
          </w:p>
        </w:tc>
        <w:tc>
          <w:tcPr>
            <w:tcW w:w="9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598</w:t>
            </w:r>
          </w:p>
        </w:tc>
        <w:tc>
          <w:tcPr>
            <w:tcW w:w="7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596</w:t>
            </w: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n/m (18)</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Prime+4.75%</w:t>
            </w: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10/15/2021</w:t>
            </w:r>
          </w:p>
        </w:tc>
        <w:tc>
          <w:tcPr>
            <w:tcW w:w="9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10/15/2027</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33"/>
        </w:trPr>
        <w:tc>
          <w:tcPr>
            <w:tcW w:w="2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2,897</w:t>
            </w:r>
          </w:p>
        </w:tc>
        <w:tc>
          <w:tcPr>
            <w:tcW w:w="7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2,870</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2,89</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r>
        <w:trPr>
          <w:trHeight w:val="171"/>
        </w:trPr>
        <w:tc>
          <w:tcPr>
            <w:tcW w:w="2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 Love Produce, LLC</w:t>
            </w:r>
          </w:p>
        </w:tc>
        <w:tc>
          <w:tcPr>
            <w:tcW w:w="172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4"/>
                <w:szCs w:val="14"/>
                <w:color w:val="auto"/>
              </w:rPr>
              <w:t>Spice and Extract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vMerge w:val="continue"/>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Manufacturing</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SOFR+6.00%</w:t>
            </w:r>
          </w:p>
        </w:tc>
        <w:tc>
          <w:tcPr>
            <w:tcW w:w="9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3/24/2026</w:t>
            </w:r>
          </w:p>
        </w:tc>
        <w:tc>
          <w:tcPr>
            <w:tcW w:w="9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3/24/2031</w:t>
            </w:r>
          </w:p>
        </w:tc>
        <w:tc>
          <w:tcPr>
            <w:tcW w:w="9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306</w:t>
            </w:r>
          </w:p>
        </w:tc>
        <w:tc>
          <w:tcPr>
            <w:tcW w:w="7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300</w:t>
            </w: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 (Delayed Draw) (5) (15)</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n/m (18)</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SOFR+6.00%</w:t>
            </w: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3/24/2026</w:t>
            </w:r>
          </w:p>
        </w:tc>
        <w:tc>
          <w:tcPr>
            <w:tcW w:w="9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3/24/2031</w:t>
            </w:r>
          </w:p>
        </w:tc>
        <w:tc>
          <w:tcPr>
            <w:tcW w:w="10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2"/>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4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SOFR+6.00%</w:t>
            </w:r>
          </w:p>
        </w:tc>
        <w:tc>
          <w:tcPr>
            <w:tcW w:w="96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3/24/2026</w:t>
            </w:r>
          </w:p>
        </w:tc>
        <w:tc>
          <w:tcPr>
            <w:tcW w:w="92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3/24/2031</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2"/>
        </w:trPr>
        <w:tc>
          <w:tcPr>
            <w:tcW w:w="2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325</w:t>
            </w:r>
          </w:p>
        </w:tc>
        <w:tc>
          <w:tcPr>
            <w:tcW w:w="7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317</w:t>
            </w: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312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5584825</wp:posOffset>
            </wp:positionH>
            <wp:positionV relativeFrom="paragraph">
              <wp:posOffset>-4833620</wp:posOffset>
            </wp:positionV>
            <wp:extent cx="68580" cy="1974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-4833620</wp:posOffset>
            </wp:positionV>
            <wp:extent cx="68580" cy="1974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6416040</wp:posOffset>
            </wp:positionH>
            <wp:positionV relativeFrom="paragraph">
              <wp:posOffset>-4833620</wp:posOffset>
            </wp:positionV>
            <wp:extent cx="77470" cy="1974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19748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-4139565</wp:posOffset>
            </wp:positionV>
            <wp:extent cx="68580" cy="2057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-4139565</wp:posOffset>
            </wp:positionV>
            <wp:extent cx="68580" cy="205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6416040</wp:posOffset>
            </wp:positionH>
            <wp:positionV relativeFrom="paragraph">
              <wp:posOffset>-4139565</wp:posOffset>
            </wp:positionV>
            <wp:extent cx="77470" cy="205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-2836545</wp:posOffset>
            </wp:positionV>
            <wp:extent cx="68580" cy="1111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-2836545</wp:posOffset>
            </wp:positionV>
            <wp:extent cx="68580" cy="1111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6416040</wp:posOffset>
            </wp:positionH>
            <wp:positionV relativeFrom="paragraph">
              <wp:posOffset>-2836545</wp:posOffset>
            </wp:positionV>
            <wp:extent cx="77470" cy="1111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-127635</wp:posOffset>
            </wp:positionV>
            <wp:extent cx="68580" cy="1111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-127635</wp:posOffset>
            </wp:positionV>
            <wp:extent cx="68580" cy="1111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6416040</wp:posOffset>
            </wp:positionH>
            <wp:positionV relativeFrom="paragraph">
              <wp:posOffset>-127635</wp:posOffset>
            </wp:positionV>
            <wp:extent cx="77470" cy="1111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111125"/>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321945</wp:posOffset>
            </wp:positionV>
            <wp:extent cx="71831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504" w:right="318"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3"/>
                <w:szCs w:val="13"/>
                <w:color w:val="auto"/>
              </w:rPr>
            </w:pPr>
          </w:p>
        </w:tc>
        <w:tc>
          <w:tcPr>
            <w:tcW w:w="6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Amorti</w:t>
            </w:r>
          </w:p>
        </w:tc>
        <w:tc>
          <w:tcPr>
            <w:tcW w:w="100" w:type="dxa"/>
            <w:vAlign w:val="bottom"/>
          </w:tcPr>
          <w:p>
            <w:pPr>
              <w:spacing w:after="0"/>
              <w:rPr>
                <w:sz w:val="13"/>
                <w:szCs w:val="13"/>
                <w:color w:val="auto"/>
              </w:rPr>
            </w:pPr>
          </w:p>
        </w:tc>
        <w:tc>
          <w:tcPr>
            <w:tcW w:w="5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3"/>
                <w:szCs w:val="13"/>
                <w:color w:val="auto"/>
              </w:rPr>
            </w:pP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4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Above Index</w:t>
            </w: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zed</w:t>
            </w:r>
          </w:p>
        </w:tc>
        <w:tc>
          <w:tcPr>
            <w:tcW w:w="100" w:type="dxa"/>
            <w:vAlign w:val="bottom"/>
          </w:tcPr>
          <w:p>
            <w:pPr>
              <w:spacing w:after="0"/>
              <w:rPr>
                <w:sz w:val="12"/>
                <w:szCs w:val="12"/>
                <w:color w:val="auto"/>
              </w:rPr>
            </w:pPr>
          </w:p>
        </w:tc>
        <w:tc>
          <w:tcPr>
            <w:tcW w:w="5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2"/>
                <w:szCs w:val="12"/>
                <w:color w:val="auto"/>
              </w:rPr>
            </w:pPr>
          </w:p>
        </w:tc>
        <w:tc>
          <w:tcPr>
            <w:tcW w:w="1040" w:type="dxa"/>
            <w:vAlign w:val="bottom"/>
          </w:tcPr>
          <w:p>
            <w:pPr>
              <w:jc w:val="right"/>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3"/>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4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0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6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20" w:type="dxa"/>
            <w:vAlign w:val="bottom"/>
          </w:tcPr>
          <w:p>
            <w:pPr>
              <w:spacing w:after="0"/>
              <w:rPr>
                <w:sz w:val="15"/>
                <w:szCs w:val="15"/>
                <w:color w:val="auto"/>
              </w:rPr>
            </w:pPr>
          </w:p>
        </w:tc>
        <w:tc>
          <w:tcPr>
            <w:tcW w:w="10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33"/>
        </w:trPr>
        <w:tc>
          <w:tcPr>
            <w:tcW w:w="2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Computer and Computer</w:t>
            </w:r>
          </w:p>
        </w:tc>
        <w:tc>
          <w:tcPr>
            <w:tcW w:w="10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Peripheral Equipment and</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Idera Inc.</w:t>
            </w:r>
          </w:p>
        </w:tc>
        <w:tc>
          <w:tcPr>
            <w:tcW w:w="17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 Merchant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vMerge w:val="continue"/>
            <w:shd w:val="clear" w:color="auto" w:fill="CCEEFF"/>
          </w:tcPr>
          <w:p>
            <w:pPr>
              <w:spacing w:after="0"/>
              <w:rPr>
                <w:sz w:val="14"/>
                <w:szCs w:val="14"/>
                <w:color w:val="auto"/>
              </w:rPr>
            </w:pPr>
          </w:p>
        </w:tc>
        <w:tc>
          <w:tcPr>
            <w:tcW w:w="1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Wholesalers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Second Lien Debt</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10.71%</w:t>
            </w: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SOFR+6.75%</w:t>
            </w:r>
          </w:p>
        </w:tc>
        <w:tc>
          <w:tcPr>
            <w:tcW w:w="9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1/27/2022</w:t>
            </w:r>
          </w:p>
        </w:tc>
        <w:tc>
          <w:tcPr>
            <w:tcW w:w="9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3/2/2029</w:t>
            </w:r>
          </w:p>
        </w:tc>
        <w:tc>
          <w:tcPr>
            <w:tcW w:w="9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2,683</w:t>
            </w:r>
          </w:p>
        </w:tc>
        <w:tc>
          <w:tcPr>
            <w:tcW w:w="7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2,683</w:t>
            </w:r>
          </w:p>
        </w:tc>
        <w:tc>
          <w:tcPr>
            <w:tcW w:w="600" w:type="dxa"/>
            <w:vAlign w:val="bottom"/>
            <w:gridSpan w:val="2"/>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1,87</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71"/>
        </w:trPr>
        <w:tc>
          <w:tcPr>
            <w:tcW w:w="2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Inergex Holdings, LLC (8) (20)</w:t>
            </w:r>
          </w:p>
        </w:tc>
        <w:tc>
          <w:tcPr>
            <w:tcW w:w="172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4"/>
                <w:szCs w:val="14"/>
                <w:color w:val="auto"/>
              </w:rPr>
              <w:t>Other Computer Related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vMerge w:val="continue"/>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(11)</w:t>
            </w: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13.22%</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SOFR+9.00%</w:t>
            </w:r>
          </w:p>
        </w:tc>
        <w:tc>
          <w:tcPr>
            <w:tcW w:w="9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10/1/2018</w:t>
            </w:r>
          </w:p>
        </w:tc>
        <w:tc>
          <w:tcPr>
            <w:tcW w:w="92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6/30/2027</w:t>
            </w:r>
          </w:p>
        </w:tc>
        <w:tc>
          <w:tcPr>
            <w:tcW w:w="9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14,490</w:t>
            </w:r>
          </w:p>
        </w:tc>
        <w:tc>
          <w:tcPr>
            <w:tcW w:w="700" w:type="dxa"/>
            <w:vAlign w:val="bottom"/>
            <w:gridSpan w:val="2"/>
            <w:shd w:val="clear" w:color="auto" w:fill="CCEEFF"/>
          </w:tcPr>
          <w:p>
            <w:pPr>
              <w:jc w:val="right"/>
              <w:ind w:right="68"/>
              <w:spacing w:after="0" w:line="139" w:lineRule="exact"/>
              <w:rPr>
                <w:sz w:val="20"/>
                <w:szCs w:val="20"/>
                <w:color w:val="auto"/>
              </w:rPr>
            </w:pPr>
            <w:r>
              <w:rPr>
                <w:rFonts w:ascii="Times New Roman" w:cs="Times New Roman" w:eastAsia="Times New Roman" w:hAnsi="Times New Roman"/>
                <w:sz w:val="14"/>
                <w:szCs w:val="14"/>
                <w:color w:val="auto"/>
              </w:rPr>
              <w:t>14,49</w:t>
            </w:r>
          </w:p>
        </w:tc>
        <w:tc>
          <w:tcPr>
            <w:tcW w:w="600" w:type="dxa"/>
            <w:vAlign w:val="bottom"/>
            <w:gridSpan w:val="2"/>
            <w:shd w:val="clear" w:color="auto" w:fill="CCEEFF"/>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14,4</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14.7 %</w:t>
            </w:r>
          </w:p>
        </w:tc>
        <w:tc>
          <w:tcPr>
            <w:tcW w:w="0" w:type="dxa"/>
            <w:vAlign w:val="bottom"/>
          </w:tcPr>
          <w:p>
            <w:pPr>
              <w:spacing w:after="0"/>
              <w:rPr>
                <w:sz w:val="1"/>
                <w:szCs w:val="1"/>
                <w:color w:val="auto"/>
              </w:rPr>
            </w:pPr>
          </w:p>
        </w:tc>
      </w:tr>
      <w:tr>
        <w:trPr>
          <w:trHeight w:val="171"/>
        </w:trPr>
        <w:tc>
          <w:tcPr>
            <w:tcW w:w="24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w:t>
            </w: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w:t>
            </w: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gridSpan w:val="2"/>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2,81</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 (Revolver) (11)</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13.22%</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SOFR+9.00%</w:t>
            </w: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10/1/2018</w:t>
            </w:r>
          </w:p>
        </w:tc>
        <w:tc>
          <w:tcPr>
            <w:tcW w:w="9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6/30/2027</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2,813</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2,813</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r>
        <w:trPr>
          <w:trHeight w:val="133"/>
        </w:trPr>
        <w:tc>
          <w:tcPr>
            <w:tcW w:w="2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17,303</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17,30</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17,3</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0" w:type="dxa"/>
            <w:vAlign w:val="bottom"/>
          </w:tcPr>
          <w:p>
            <w:pPr>
              <w:spacing w:after="0"/>
              <w:rPr>
                <w:sz w:val="1"/>
                <w:szCs w:val="1"/>
                <w:color w:val="auto"/>
              </w:rPr>
            </w:pPr>
          </w:p>
        </w:tc>
      </w:tr>
      <w:tr>
        <w:trPr>
          <w:trHeight w:val="171"/>
        </w:trPr>
        <w:tc>
          <w:tcPr>
            <w:tcW w:w="2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03</w:t>
            </w: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Integrated Energy Services, LLC</w:t>
            </w:r>
          </w:p>
        </w:tc>
        <w:tc>
          <w:tcPr>
            <w:tcW w:w="172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4"/>
                <w:szCs w:val="14"/>
                <w:color w:val="auto"/>
              </w:rPr>
              <w:t>Computer Systems Design</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vMerge w:val="continue"/>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9.82%</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SOFR+5.75%</w:t>
            </w:r>
          </w:p>
        </w:tc>
        <w:tc>
          <w:tcPr>
            <w:tcW w:w="9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12/18/2025</w:t>
            </w:r>
          </w:p>
        </w:tc>
        <w:tc>
          <w:tcPr>
            <w:tcW w:w="9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12/19/2030</w:t>
            </w:r>
          </w:p>
        </w:tc>
        <w:tc>
          <w:tcPr>
            <w:tcW w:w="9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521</w:t>
            </w:r>
          </w:p>
        </w:tc>
        <w:tc>
          <w:tcPr>
            <w:tcW w:w="7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513</w:t>
            </w: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 (Delayed Draw) (5)</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n/m (18)</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SOFR+5.75%</w:t>
            </w: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12/18/2025</w:t>
            </w:r>
          </w:p>
        </w:tc>
        <w:tc>
          <w:tcPr>
            <w:tcW w:w="9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12/19/2030</w:t>
            </w:r>
          </w:p>
        </w:tc>
        <w:tc>
          <w:tcPr>
            <w:tcW w:w="10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2"/>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4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9.57%</w:t>
            </w: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SOFR+5.50%</w:t>
            </w:r>
          </w:p>
        </w:tc>
        <w:tc>
          <w:tcPr>
            <w:tcW w:w="96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12/18/2025</w:t>
            </w:r>
          </w:p>
        </w:tc>
        <w:tc>
          <w:tcPr>
            <w:tcW w:w="92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12/19/2030</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6"/>
        </w:trPr>
        <w:tc>
          <w:tcPr>
            <w:tcW w:w="2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566</w:t>
            </w:r>
          </w:p>
        </w:tc>
        <w:tc>
          <w:tcPr>
            <w:tcW w:w="70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554</w:t>
            </w:r>
          </w:p>
        </w:tc>
        <w:tc>
          <w:tcPr>
            <w:tcW w:w="6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546</w:t>
            </w:r>
          </w:p>
        </w:tc>
        <w:tc>
          <w:tcPr>
            <w:tcW w:w="11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0.5 %</w:t>
            </w:r>
          </w:p>
        </w:tc>
        <w:tc>
          <w:tcPr>
            <w:tcW w:w="0" w:type="dxa"/>
            <w:vAlign w:val="bottom"/>
          </w:tcPr>
          <w:p>
            <w:pPr>
              <w:spacing w:after="0"/>
              <w:rPr>
                <w:sz w:val="1"/>
                <w:szCs w:val="1"/>
                <w:color w:val="auto"/>
              </w:rPr>
            </w:pPr>
          </w:p>
        </w:tc>
      </w:tr>
      <w:tr>
        <w:trPr>
          <w:trHeight w:val="139"/>
        </w:trPr>
        <w:tc>
          <w:tcPr>
            <w:tcW w:w="24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Drugs and Druggists'</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JP Intermediate B, LLC</w:t>
            </w:r>
          </w:p>
        </w:tc>
        <w:tc>
          <w:tcPr>
            <w:tcW w:w="17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Sundries Merchant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vMerge w:val="continue"/>
            <w:shd w:val="clear" w:color="auto" w:fill="CCEEFF"/>
          </w:tcPr>
          <w:p>
            <w:pPr>
              <w:spacing w:after="0"/>
              <w:rPr>
                <w:sz w:val="14"/>
                <w:szCs w:val="14"/>
                <w:color w:val="auto"/>
              </w:rPr>
            </w:pPr>
          </w:p>
        </w:tc>
        <w:tc>
          <w:tcPr>
            <w:tcW w:w="1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Wholesalers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11.07%</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SOFR+7.00%</w:t>
            </w: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10/2/2025</w:t>
            </w:r>
          </w:p>
        </w:tc>
        <w:tc>
          <w:tcPr>
            <w:tcW w:w="9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9/30/2030</w:t>
            </w: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332</w:t>
            </w:r>
          </w:p>
        </w:tc>
        <w:tc>
          <w:tcPr>
            <w:tcW w:w="7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332</w:t>
            </w: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332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139"/>
        </w:trPr>
        <w:tc>
          <w:tcPr>
            <w:tcW w:w="2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(6) (11) (15)</w:t>
            </w: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9.57%</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SOFR+5.50%</w:t>
            </w:r>
          </w:p>
        </w:tc>
        <w:tc>
          <w:tcPr>
            <w:tcW w:w="9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1/14/2021</w:t>
            </w:r>
          </w:p>
        </w:tc>
        <w:tc>
          <w:tcPr>
            <w:tcW w:w="92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3/31/2031</w:t>
            </w:r>
          </w:p>
        </w:tc>
        <w:tc>
          <w:tcPr>
            <w:tcW w:w="9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1,499</w:t>
            </w:r>
          </w:p>
        </w:tc>
        <w:tc>
          <w:tcPr>
            <w:tcW w:w="7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1,499</w:t>
            </w:r>
          </w:p>
        </w:tc>
        <w:tc>
          <w:tcPr>
            <w:tcW w:w="600" w:type="dxa"/>
            <w:vAlign w:val="bottom"/>
            <w:gridSpan w:val="2"/>
            <w:shd w:val="clear" w:color="auto" w:fill="CCEEFF"/>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1,06</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71"/>
        </w:trPr>
        <w:tc>
          <w:tcPr>
            <w:tcW w:w="24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Common Equity (12,663 Units) (10) (15)</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9/30/2025</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2,992</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33"/>
        </w:trPr>
        <w:tc>
          <w:tcPr>
            <w:tcW w:w="2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1,831</w:t>
            </w:r>
          </w:p>
        </w:tc>
        <w:tc>
          <w:tcPr>
            <w:tcW w:w="7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4,823</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1,39</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171"/>
        </w:trPr>
        <w:tc>
          <w:tcPr>
            <w:tcW w:w="2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M2S Group Intermediate Holdings Inc.</w:t>
            </w:r>
          </w:p>
        </w:tc>
        <w:tc>
          <w:tcPr>
            <w:tcW w:w="172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4"/>
                <w:szCs w:val="14"/>
                <w:color w:val="auto"/>
              </w:rPr>
              <w:t>Plastics Packaging Film</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400" w:type="dxa"/>
            <w:vAlign w:val="bottom"/>
            <w:vMerge w:val="continue"/>
          </w:tcPr>
          <w:p>
            <w:pPr>
              <w:spacing w:after="0"/>
              <w:rPr>
                <w:sz w:val="12"/>
                <w:szCs w:val="12"/>
                <w:color w:val="auto"/>
              </w:rPr>
            </w:pPr>
          </w:p>
        </w:tc>
        <w:tc>
          <w:tcPr>
            <w:tcW w:w="1720" w:type="dxa"/>
            <w:vAlign w:val="bottom"/>
            <w:gridSpan w:val="2"/>
          </w:tcPr>
          <w:p>
            <w:pPr>
              <w:ind w:left="120"/>
              <w:spacing w:after="0" w:line="147" w:lineRule="exact"/>
              <w:rPr>
                <w:sz w:val="20"/>
                <w:szCs w:val="20"/>
                <w:color w:val="auto"/>
              </w:rPr>
            </w:pPr>
            <w:r>
              <w:rPr>
                <w:rFonts w:ascii="Times New Roman" w:cs="Times New Roman" w:eastAsia="Times New Roman" w:hAnsi="Times New Roman"/>
                <w:sz w:val="14"/>
                <w:szCs w:val="14"/>
                <w:color w:val="auto"/>
              </w:rPr>
              <w:t>and Sheet (including</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(14) (15)</w:t>
            </w: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Laminated) Manufacturing</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SOFR+4.75%</w:t>
            </w:r>
          </w:p>
        </w:tc>
        <w:tc>
          <w:tcPr>
            <w:tcW w:w="9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10/28/2025</w:t>
            </w:r>
          </w:p>
        </w:tc>
        <w:tc>
          <w:tcPr>
            <w:tcW w:w="92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8/25/2031</w:t>
            </w:r>
          </w:p>
        </w:tc>
        <w:tc>
          <w:tcPr>
            <w:tcW w:w="9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1,952</w:t>
            </w:r>
          </w:p>
        </w:tc>
        <w:tc>
          <w:tcPr>
            <w:tcW w:w="7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1,953</w:t>
            </w:r>
          </w:p>
        </w:tc>
        <w:tc>
          <w:tcPr>
            <w:tcW w:w="600" w:type="dxa"/>
            <w:vAlign w:val="bottom"/>
            <w:gridSpan w:val="2"/>
            <w:shd w:val="clear" w:color="auto" w:fill="CCEEFF"/>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1,96</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71"/>
        </w:trPr>
        <w:tc>
          <w:tcPr>
            <w:tcW w:w="24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7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Medrina LLC</w:t>
            </w:r>
          </w:p>
        </w:tc>
        <w:tc>
          <w:tcPr>
            <w:tcW w:w="1720" w:type="dxa"/>
            <w:vAlign w:val="bottom"/>
            <w:gridSpan w:val="2"/>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All Other Outpatient Care</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vMerge w:val="continue"/>
            <w:shd w:val="clear" w:color="auto" w:fill="CCEEFF"/>
          </w:tcPr>
          <w:p>
            <w:pPr>
              <w:spacing w:after="0"/>
              <w:rPr>
                <w:sz w:val="14"/>
                <w:szCs w:val="14"/>
                <w:color w:val="auto"/>
              </w:rPr>
            </w:pPr>
          </w:p>
        </w:tc>
        <w:tc>
          <w:tcPr>
            <w:tcW w:w="1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Centers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2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SOFR+6.00%</w:t>
            </w:r>
          </w:p>
        </w:tc>
        <w:tc>
          <w:tcPr>
            <w:tcW w:w="9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10/20/2023</w:t>
            </w:r>
          </w:p>
        </w:tc>
        <w:tc>
          <w:tcPr>
            <w:tcW w:w="9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10/20/2029</w:t>
            </w:r>
          </w:p>
        </w:tc>
        <w:tc>
          <w:tcPr>
            <w:tcW w:w="9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2,173</w:t>
            </w:r>
          </w:p>
        </w:tc>
        <w:tc>
          <w:tcPr>
            <w:tcW w:w="7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2,145</w:t>
            </w:r>
          </w:p>
        </w:tc>
        <w:tc>
          <w:tcPr>
            <w:tcW w:w="600" w:type="dxa"/>
            <w:vAlign w:val="bottom"/>
            <w:gridSpan w:val="2"/>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2,15</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71"/>
        </w:trPr>
        <w:tc>
          <w:tcPr>
            <w:tcW w:w="2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9.84%</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SOFR+6.00%</w:t>
            </w:r>
          </w:p>
        </w:tc>
        <w:tc>
          <w:tcPr>
            <w:tcW w:w="9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10/20/2023</w:t>
            </w:r>
          </w:p>
        </w:tc>
        <w:tc>
          <w:tcPr>
            <w:tcW w:w="9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10/20/2029</w:t>
            </w:r>
          </w:p>
        </w:tc>
        <w:tc>
          <w:tcPr>
            <w:tcW w:w="9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365</w:t>
            </w:r>
          </w:p>
        </w:tc>
        <w:tc>
          <w:tcPr>
            <w:tcW w:w="7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362</w:t>
            </w: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n/m (18)</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SOFR+6.00%</w:t>
            </w: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10/20/2023</w:t>
            </w:r>
          </w:p>
        </w:tc>
        <w:tc>
          <w:tcPr>
            <w:tcW w:w="9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10/20/2029</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33"/>
        </w:trPr>
        <w:tc>
          <w:tcPr>
            <w:tcW w:w="2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2,538</w:t>
            </w:r>
          </w:p>
        </w:tc>
        <w:tc>
          <w:tcPr>
            <w:tcW w:w="7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2,503</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2,51</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0" w:type="dxa"/>
            <w:vAlign w:val="bottom"/>
          </w:tcPr>
          <w:p>
            <w:pPr>
              <w:spacing w:after="0"/>
              <w:rPr>
                <w:sz w:val="1"/>
                <w:szCs w:val="1"/>
                <w:color w:val="auto"/>
              </w:rPr>
            </w:pPr>
          </w:p>
        </w:tc>
      </w:tr>
      <w:tr>
        <w:trPr>
          <w:trHeight w:val="171"/>
        </w:trPr>
        <w:tc>
          <w:tcPr>
            <w:tcW w:w="2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Metasource, LLC (11) (15)</w:t>
            </w:r>
          </w:p>
        </w:tc>
        <w:tc>
          <w:tcPr>
            <w:tcW w:w="172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4"/>
                <w:szCs w:val="14"/>
                <w:color w:val="auto"/>
              </w:rPr>
              <w:t>All Other Business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vMerge w:val="continue"/>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Support Services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4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11.09%</w:t>
            </w:r>
          </w:p>
        </w:tc>
        <w:tc>
          <w:tcPr>
            <w:tcW w:w="10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SOFR+6.75%</w:t>
            </w:r>
          </w:p>
        </w:tc>
        <w:tc>
          <w:tcPr>
            <w:tcW w:w="9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5/17/2022</w:t>
            </w:r>
          </w:p>
        </w:tc>
        <w:tc>
          <w:tcPr>
            <w:tcW w:w="92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5/17/2027</w:t>
            </w:r>
          </w:p>
        </w:tc>
        <w:tc>
          <w:tcPr>
            <w:tcW w:w="9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2,716</w:t>
            </w:r>
          </w:p>
        </w:tc>
        <w:tc>
          <w:tcPr>
            <w:tcW w:w="7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2,706</w:t>
            </w:r>
          </w:p>
        </w:tc>
        <w:tc>
          <w:tcPr>
            <w:tcW w:w="600" w:type="dxa"/>
            <w:vAlign w:val="bottom"/>
            <w:gridSpan w:val="2"/>
            <w:shd w:val="clear" w:color="auto" w:fill="CCEEFF"/>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2,60</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0" w:type="dxa"/>
            <w:vAlign w:val="bottom"/>
          </w:tcPr>
          <w:p>
            <w:pPr>
              <w:spacing w:after="0"/>
              <w:rPr>
                <w:sz w:val="1"/>
                <w:szCs w:val="1"/>
                <w:color w:val="auto"/>
              </w:rPr>
            </w:pPr>
          </w:p>
        </w:tc>
      </w:tr>
      <w:tr>
        <w:trPr>
          <w:trHeight w:val="171"/>
        </w:trPr>
        <w:tc>
          <w:tcPr>
            <w:tcW w:w="24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7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MP Design, LLC</w:t>
            </w:r>
          </w:p>
        </w:tc>
        <w:tc>
          <w:tcPr>
            <w:tcW w:w="1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Architectural Services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SOFR+5.25%</w:t>
            </w: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6/9/2026</w:t>
            </w:r>
          </w:p>
        </w:tc>
        <w:tc>
          <w:tcPr>
            <w:tcW w:w="9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6/9/2031</w:t>
            </w: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986</w:t>
            </w:r>
          </w:p>
        </w:tc>
        <w:tc>
          <w:tcPr>
            <w:tcW w:w="7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972</w:t>
            </w: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973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62"/>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4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n/m (18)</w:t>
            </w: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SOFR+5.25%</w:t>
            </w:r>
          </w:p>
        </w:tc>
        <w:tc>
          <w:tcPr>
            <w:tcW w:w="96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6/9/2026</w:t>
            </w:r>
          </w:p>
        </w:tc>
        <w:tc>
          <w:tcPr>
            <w:tcW w:w="92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6/9/2031</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986</w:t>
            </w:r>
          </w:p>
        </w:tc>
        <w:tc>
          <w:tcPr>
            <w:tcW w:w="70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968</w:t>
            </w:r>
          </w:p>
        </w:tc>
        <w:tc>
          <w:tcPr>
            <w:tcW w:w="6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970</w:t>
            </w:r>
          </w:p>
        </w:tc>
        <w:tc>
          <w:tcPr>
            <w:tcW w:w="11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39"/>
        </w:trPr>
        <w:tc>
          <w:tcPr>
            <w:tcW w:w="2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Neptune BidCo US Inc. (14) (15)</w:t>
            </w:r>
          </w:p>
        </w:tc>
        <w:tc>
          <w:tcPr>
            <w:tcW w:w="1720" w:type="dxa"/>
            <w:vAlign w:val="bottom"/>
            <w:gridSpan w:val="2"/>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Marketing Research and</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vMerge w:val="continue"/>
            <w:shd w:val="clear" w:color="auto" w:fill="CCEEFF"/>
          </w:tcPr>
          <w:p>
            <w:pPr>
              <w:spacing w:after="0"/>
              <w:rPr>
                <w:sz w:val="14"/>
                <w:szCs w:val="14"/>
                <w:color w:val="auto"/>
              </w:rPr>
            </w:pPr>
          </w:p>
        </w:tc>
        <w:tc>
          <w:tcPr>
            <w:tcW w:w="1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Public Opinion Polling</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2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SOFR+5.00%</w:t>
            </w:r>
          </w:p>
        </w:tc>
        <w:tc>
          <w:tcPr>
            <w:tcW w:w="9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8/20/2026</w:t>
            </w:r>
          </w:p>
        </w:tc>
        <w:tc>
          <w:tcPr>
            <w:tcW w:w="9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2/3/2033</w:t>
            </w:r>
          </w:p>
        </w:tc>
        <w:tc>
          <w:tcPr>
            <w:tcW w:w="9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2,000</w:t>
            </w:r>
          </w:p>
        </w:tc>
        <w:tc>
          <w:tcPr>
            <w:tcW w:w="7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1,993</w:t>
            </w:r>
          </w:p>
        </w:tc>
        <w:tc>
          <w:tcPr>
            <w:tcW w:w="600" w:type="dxa"/>
            <w:vAlign w:val="bottom"/>
            <w:gridSpan w:val="2"/>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1,99</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71"/>
        </w:trPr>
        <w:tc>
          <w:tcPr>
            <w:tcW w:w="2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5584825</wp:posOffset>
            </wp:positionH>
            <wp:positionV relativeFrom="paragraph">
              <wp:posOffset>-3814445</wp:posOffset>
            </wp:positionV>
            <wp:extent cx="68580" cy="1117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-3814445</wp:posOffset>
            </wp:positionV>
            <wp:extent cx="68580" cy="1117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6416040</wp:posOffset>
            </wp:positionH>
            <wp:positionV relativeFrom="paragraph">
              <wp:posOffset>-3814445</wp:posOffset>
            </wp:positionV>
            <wp:extent cx="77470" cy="1117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-607695</wp:posOffset>
            </wp:positionV>
            <wp:extent cx="68580" cy="1111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-607695</wp:posOffset>
            </wp:positionV>
            <wp:extent cx="68580" cy="1111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6416040</wp:posOffset>
            </wp:positionH>
            <wp:positionV relativeFrom="paragraph">
              <wp:posOffset>-607695</wp:posOffset>
            </wp:positionV>
            <wp:extent cx="77470" cy="1111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11112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321945</wp:posOffset>
            </wp:positionV>
            <wp:extent cx="71831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504" w:right="318"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3"/>
                <w:szCs w:val="13"/>
                <w:color w:val="auto"/>
              </w:rPr>
            </w:pPr>
          </w:p>
        </w:tc>
        <w:tc>
          <w:tcPr>
            <w:tcW w:w="6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Amorti</w:t>
            </w:r>
          </w:p>
        </w:tc>
        <w:tc>
          <w:tcPr>
            <w:tcW w:w="100" w:type="dxa"/>
            <w:vAlign w:val="bottom"/>
          </w:tcPr>
          <w:p>
            <w:pPr>
              <w:spacing w:after="0"/>
              <w:rPr>
                <w:sz w:val="13"/>
                <w:szCs w:val="13"/>
                <w:color w:val="auto"/>
              </w:rPr>
            </w:pPr>
          </w:p>
        </w:tc>
        <w:tc>
          <w:tcPr>
            <w:tcW w:w="5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3"/>
                <w:szCs w:val="13"/>
                <w:color w:val="auto"/>
              </w:rPr>
            </w:pP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4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Above Index</w:t>
            </w: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zed</w:t>
            </w:r>
          </w:p>
        </w:tc>
        <w:tc>
          <w:tcPr>
            <w:tcW w:w="100" w:type="dxa"/>
            <w:vAlign w:val="bottom"/>
          </w:tcPr>
          <w:p>
            <w:pPr>
              <w:spacing w:after="0"/>
              <w:rPr>
                <w:sz w:val="12"/>
                <w:szCs w:val="12"/>
                <w:color w:val="auto"/>
              </w:rPr>
            </w:pPr>
          </w:p>
        </w:tc>
        <w:tc>
          <w:tcPr>
            <w:tcW w:w="5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2"/>
                <w:szCs w:val="12"/>
                <w:color w:val="auto"/>
              </w:rPr>
            </w:pPr>
          </w:p>
        </w:tc>
        <w:tc>
          <w:tcPr>
            <w:tcW w:w="1040" w:type="dxa"/>
            <w:vAlign w:val="bottom"/>
          </w:tcPr>
          <w:p>
            <w:pPr>
              <w:jc w:val="right"/>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3"/>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4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0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6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20" w:type="dxa"/>
            <w:vAlign w:val="bottom"/>
          </w:tcPr>
          <w:p>
            <w:pPr>
              <w:spacing w:after="0"/>
              <w:rPr>
                <w:sz w:val="15"/>
                <w:szCs w:val="15"/>
                <w:color w:val="auto"/>
              </w:rPr>
            </w:pPr>
          </w:p>
        </w:tc>
        <w:tc>
          <w:tcPr>
            <w:tcW w:w="10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33"/>
        </w:trPr>
        <w:tc>
          <w:tcPr>
            <w:tcW w:w="24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i w:val="1"/>
                <w:iCs w:val="1"/>
                <w:color w:val="auto"/>
              </w:rPr>
              <w:t>One GI LLC (6)</w:t>
            </w:r>
          </w:p>
        </w:tc>
        <w:tc>
          <w:tcPr>
            <w:tcW w:w="140" w:type="dxa"/>
            <w:vAlign w:val="bottom"/>
          </w:tcPr>
          <w:p>
            <w:pPr>
              <w:spacing w:after="0"/>
              <w:rPr>
                <w:sz w:val="11"/>
                <w:szCs w:val="11"/>
                <w:color w:val="auto"/>
              </w:rPr>
            </w:pPr>
          </w:p>
        </w:tc>
        <w:tc>
          <w:tcPr>
            <w:tcW w:w="158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Offices of Other Holding</w:t>
            </w:r>
          </w:p>
        </w:tc>
        <w:tc>
          <w:tcPr>
            <w:tcW w:w="1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400" w:type="dxa"/>
            <w:vAlign w:val="bottom"/>
            <w:vMerge w:val="continue"/>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Companies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(11) (15)</w:t>
            </w: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10.75%</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SOFR+6.75%</w:t>
            </w:r>
          </w:p>
        </w:tc>
        <w:tc>
          <w:tcPr>
            <w:tcW w:w="9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12/13/2021</w:t>
            </w:r>
          </w:p>
        </w:tc>
        <w:tc>
          <w:tcPr>
            <w:tcW w:w="92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10/31/2026</w:t>
            </w:r>
          </w:p>
        </w:tc>
        <w:tc>
          <w:tcPr>
            <w:tcW w:w="9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7,807</w:t>
            </w:r>
          </w:p>
        </w:tc>
        <w:tc>
          <w:tcPr>
            <w:tcW w:w="7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7,274</w:t>
            </w:r>
          </w:p>
        </w:tc>
        <w:tc>
          <w:tcPr>
            <w:tcW w:w="600" w:type="dxa"/>
            <w:vAlign w:val="bottom"/>
            <w:gridSpan w:val="2"/>
            <w:shd w:val="clear" w:color="auto" w:fill="CCEEFF"/>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6,19</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0" w:type="dxa"/>
            <w:vAlign w:val="bottom"/>
          </w:tcPr>
          <w:p>
            <w:pPr>
              <w:spacing w:after="0"/>
              <w:rPr>
                <w:sz w:val="1"/>
                <w:szCs w:val="1"/>
                <w:color w:val="auto"/>
              </w:rPr>
            </w:pPr>
          </w:p>
        </w:tc>
      </w:tr>
      <w:tr>
        <w:trPr>
          <w:trHeight w:val="171"/>
        </w:trPr>
        <w:tc>
          <w:tcPr>
            <w:tcW w:w="24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(11) (15)</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10.75%</w:t>
            </w: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SOFR+6.75%</w:t>
            </w:r>
          </w:p>
        </w:tc>
        <w:tc>
          <w:tcPr>
            <w:tcW w:w="9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12/13/2021</w:t>
            </w:r>
          </w:p>
        </w:tc>
        <w:tc>
          <w:tcPr>
            <w:tcW w:w="9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10/31/2026</w:t>
            </w:r>
          </w:p>
        </w:tc>
        <w:tc>
          <w:tcPr>
            <w:tcW w:w="9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4,115</w:t>
            </w:r>
          </w:p>
        </w:tc>
        <w:tc>
          <w:tcPr>
            <w:tcW w:w="7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3,834</w:t>
            </w:r>
          </w:p>
        </w:tc>
        <w:tc>
          <w:tcPr>
            <w:tcW w:w="600" w:type="dxa"/>
            <w:vAlign w:val="bottom"/>
            <w:gridSpan w:val="2"/>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3,26</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0" w:type="dxa"/>
            <w:vAlign w:val="bottom"/>
          </w:tcPr>
          <w:p>
            <w:pPr>
              <w:spacing w:after="0"/>
              <w:rPr>
                <w:sz w:val="1"/>
                <w:szCs w:val="1"/>
                <w:color w:val="auto"/>
              </w:rPr>
            </w:pPr>
          </w:p>
        </w:tc>
      </w:tr>
      <w:tr>
        <w:trPr>
          <w:trHeight w:val="171"/>
        </w:trPr>
        <w:tc>
          <w:tcPr>
            <w:tcW w:w="2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1,22</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(Revolver) (11)</w:t>
            </w:r>
          </w:p>
        </w:tc>
        <w:tc>
          <w:tcPr>
            <w:tcW w:w="14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10.75%</w:t>
            </w: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SOFR+6.75%</w:t>
            </w:r>
          </w:p>
        </w:tc>
        <w:tc>
          <w:tcPr>
            <w:tcW w:w="96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12/13/2021</w:t>
            </w:r>
          </w:p>
        </w:tc>
        <w:tc>
          <w:tcPr>
            <w:tcW w:w="92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10/31/2026</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1,549</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1,443</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13,471</w:t>
            </w:r>
          </w:p>
        </w:tc>
        <w:tc>
          <w:tcPr>
            <w:tcW w:w="700" w:type="dxa"/>
            <w:vAlign w:val="bottom"/>
            <w:gridSpan w:val="2"/>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12,55</w:t>
            </w:r>
          </w:p>
        </w:tc>
        <w:tc>
          <w:tcPr>
            <w:tcW w:w="600" w:type="dxa"/>
            <w:vAlign w:val="bottom"/>
            <w:gridSpan w:val="2"/>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10,6</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82</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Petco Animal Supplies (14) (15)</w:t>
            </w:r>
          </w:p>
        </w:tc>
        <w:tc>
          <w:tcPr>
            <w:tcW w:w="172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Pet and Pet Supplies</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00" w:type="dxa"/>
            <w:vAlign w:val="bottom"/>
            <w:vMerge w:val="continue"/>
            <w:shd w:val="clear" w:color="auto" w:fill="CCEEFF"/>
          </w:tcPr>
          <w:p>
            <w:pPr>
              <w:spacing w:after="0"/>
              <w:rPr>
                <w:sz w:val="14"/>
                <w:szCs w:val="14"/>
                <w:color w:val="auto"/>
              </w:rPr>
            </w:pPr>
          </w:p>
        </w:tc>
        <w:tc>
          <w:tcPr>
            <w:tcW w:w="1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Stores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2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8.32%</w:t>
            </w: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SOFR+4.25%</w:t>
            </w:r>
          </w:p>
        </w:tc>
        <w:tc>
          <w:tcPr>
            <w:tcW w:w="9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9/11/2026</w:t>
            </w:r>
          </w:p>
        </w:tc>
        <w:tc>
          <w:tcPr>
            <w:tcW w:w="9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2/3/2031</w:t>
            </w:r>
          </w:p>
        </w:tc>
        <w:tc>
          <w:tcPr>
            <w:tcW w:w="9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1,833</w:t>
            </w:r>
          </w:p>
        </w:tc>
        <w:tc>
          <w:tcPr>
            <w:tcW w:w="7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1,829</w:t>
            </w:r>
          </w:p>
        </w:tc>
        <w:tc>
          <w:tcPr>
            <w:tcW w:w="600" w:type="dxa"/>
            <w:vAlign w:val="bottom"/>
            <w:gridSpan w:val="2"/>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1,83</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71"/>
        </w:trPr>
        <w:tc>
          <w:tcPr>
            <w:tcW w:w="2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400" w:type="dxa"/>
            <w:vAlign w:val="bottom"/>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Planet Bingo, LLC (F/K/A 3rd Rock</w:t>
            </w:r>
          </w:p>
        </w:tc>
        <w:tc>
          <w:tcPr>
            <w:tcW w:w="1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Software Publishers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400" w:type="dxa"/>
            <w:vAlign w:val="bottom"/>
          </w:tcPr>
          <w:p>
            <w:pPr>
              <w:ind w:left="100"/>
              <w:spacing w:after="0"/>
              <w:rPr>
                <w:sz w:val="20"/>
                <w:szCs w:val="20"/>
                <w:color w:val="auto"/>
              </w:rPr>
            </w:pPr>
            <w:r>
              <w:rPr>
                <w:rFonts w:ascii="Times New Roman" w:cs="Times New Roman" w:eastAsia="Times New Roman" w:hAnsi="Times New Roman"/>
                <w:sz w:val="14"/>
                <w:szCs w:val="14"/>
                <w:i w:val="1"/>
                <w:iCs w:val="1"/>
                <w:color w:val="auto"/>
              </w:rPr>
              <w:t>Gaming Holdings, LLC) (6)</w:t>
            </w:r>
          </w:p>
        </w:tc>
        <w:tc>
          <w:tcPr>
            <w:tcW w:w="1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3/13/2018</w:t>
            </w:r>
          </w:p>
        </w:tc>
        <w:tc>
          <w:tcPr>
            <w:tcW w:w="92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12/31/2027</w:t>
            </w:r>
          </w:p>
        </w:tc>
        <w:tc>
          <w:tcPr>
            <w:tcW w:w="9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16,648</w:t>
            </w:r>
          </w:p>
        </w:tc>
        <w:tc>
          <w:tcPr>
            <w:tcW w:w="700" w:type="dxa"/>
            <w:vAlign w:val="bottom"/>
            <w:gridSpan w:val="2"/>
            <w:shd w:val="clear" w:color="auto" w:fill="CCEEFF"/>
          </w:tcPr>
          <w:p>
            <w:pPr>
              <w:jc w:val="right"/>
              <w:ind w:right="68"/>
              <w:spacing w:after="0" w:line="139" w:lineRule="exact"/>
              <w:rPr>
                <w:sz w:val="20"/>
                <w:szCs w:val="20"/>
                <w:color w:val="auto"/>
              </w:rPr>
            </w:pPr>
            <w:r>
              <w:rPr>
                <w:rFonts w:ascii="Times New Roman" w:cs="Times New Roman" w:eastAsia="Times New Roman" w:hAnsi="Times New Roman"/>
                <w:sz w:val="14"/>
                <w:szCs w:val="14"/>
                <w:color w:val="auto"/>
              </w:rPr>
              <w:t>14,11</w:t>
            </w:r>
          </w:p>
        </w:tc>
        <w:tc>
          <w:tcPr>
            <w:tcW w:w="600" w:type="dxa"/>
            <w:vAlign w:val="bottom"/>
            <w:gridSpan w:val="2"/>
            <w:shd w:val="clear" w:color="auto" w:fill="CCEEFF"/>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8,57</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0" w:type="dxa"/>
            <w:vAlign w:val="bottom"/>
          </w:tcPr>
          <w:p>
            <w:pPr>
              <w:spacing w:after="0"/>
              <w:rPr>
                <w:sz w:val="1"/>
                <w:szCs w:val="1"/>
                <w:color w:val="auto"/>
              </w:rPr>
            </w:pPr>
          </w:p>
        </w:tc>
      </w:tr>
      <w:tr>
        <w:trPr>
          <w:trHeight w:val="171"/>
        </w:trPr>
        <w:tc>
          <w:tcPr>
            <w:tcW w:w="24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7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PM Acquisition LLC</w:t>
            </w:r>
          </w:p>
        </w:tc>
        <w:tc>
          <w:tcPr>
            <w:tcW w:w="1720" w:type="dxa"/>
            <w:vAlign w:val="bottom"/>
            <w:gridSpan w:val="2"/>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All Other General</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vMerge w:val="continue"/>
            <w:shd w:val="clear" w:color="auto" w:fill="CCEEFF"/>
          </w:tcPr>
          <w:p>
            <w:pPr>
              <w:spacing w:after="0"/>
              <w:rPr>
                <w:sz w:val="14"/>
                <w:szCs w:val="14"/>
                <w:color w:val="auto"/>
              </w:rPr>
            </w:pPr>
          </w:p>
        </w:tc>
        <w:tc>
          <w:tcPr>
            <w:tcW w:w="1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Merchandise Stores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Common Equity (499 units)</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9/30/2017</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231</w:t>
            </w:r>
          </w:p>
        </w:tc>
        <w:tc>
          <w:tcPr>
            <w:tcW w:w="600" w:type="dxa"/>
            <w:vAlign w:val="bottom"/>
            <w:gridSpan w:val="2"/>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1,41</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171"/>
        </w:trPr>
        <w:tc>
          <w:tcPr>
            <w:tcW w:w="2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tcPr>
          <w:p>
            <w:pPr>
              <w:spacing w:after="0"/>
              <w:rPr>
                <w:sz w:val="12"/>
                <w:szCs w:val="12"/>
                <w:color w:val="auto"/>
              </w:rPr>
            </w:pPr>
          </w:p>
        </w:tc>
        <w:tc>
          <w:tcPr>
            <w:tcW w:w="172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4"/>
                <w:szCs w:val="14"/>
                <w:color w:val="auto"/>
              </w:rPr>
              <w:t>Lessors of Nonfinancial</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PSB Group, LLC (20)</w:t>
            </w:r>
          </w:p>
        </w:tc>
        <w:tc>
          <w:tcPr>
            <w:tcW w:w="17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Intangible Assets (except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vMerge w:val="continue"/>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Copyrighted Works)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SOFR+6.50%</w:t>
            </w:r>
          </w:p>
        </w:tc>
        <w:tc>
          <w:tcPr>
            <w:tcW w:w="9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4/17/2025</w:t>
            </w:r>
          </w:p>
        </w:tc>
        <w:tc>
          <w:tcPr>
            <w:tcW w:w="92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4/17/2030</w:t>
            </w:r>
          </w:p>
        </w:tc>
        <w:tc>
          <w:tcPr>
            <w:tcW w:w="9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7,822</w:t>
            </w:r>
          </w:p>
        </w:tc>
        <w:tc>
          <w:tcPr>
            <w:tcW w:w="7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7,794</w:t>
            </w:r>
          </w:p>
        </w:tc>
        <w:tc>
          <w:tcPr>
            <w:tcW w:w="600" w:type="dxa"/>
            <w:vAlign w:val="bottom"/>
            <w:gridSpan w:val="2"/>
            <w:shd w:val="clear" w:color="auto" w:fill="CCEEFF"/>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7,90</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0" w:type="dxa"/>
            <w:vAlign w:val="bottom"/>
          </w:tcPr>
          <w:p>
            <w:pPr>
              <w:spacing w:after="0"/>
              <w:rPr>
                <w:sz w:val="1"/>
                <w:szCs w:val="1"/>
                <w:color w:val="auto"/>
              </w:rPr>
            </w:pPr>
          </w:p>
        </w:tc>
      </w:tr>
      <w:tr>
        <w:trPr>
          <w:trHeight w:val="171"/>
        </w:trPr>
        <w:tc>
          <w:tcPr>
            <w:tcW w:w="24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n/m (18)</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SOFR+6.50%</w:t>
            </w: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4/17/2025</w:t>
            </w:r>
          </w:p>
        </w:tc>
        <w:tc>
          <w:tcPr>
            <w:tcW w:w="9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4/17/2030</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33"/>
        </w:trPr>
        <w:tc>
          <w:tcPr>
            <w:tcW w:w="2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7,822</w:t>
            </w:r>
          </w:p>
        </w:tc>
        <w:tc>
          <w:tcPr>
            <w:tcW w:w="7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7,790</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7,90</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0" w:type="dxa"/>
            <w:vAlign w:val="bottom"/>
          </w:tcPr>
          <w:p>
            <w:pPr>
              <w:spacing w:after="0"/>
              <w:rPr>
                <w:sz w:val="1"/>
                <w:szCs w:val="1"/>
                <w:color w:val="auto"/>
              </w:rPr>
            </w:pPr>
          </w:p>
        </w:tc>
      </w:tr>
      <w:tr>
        <w:trPr>
          <w:trHeight w:val="171"/>
        </w:trPr>
        <w:tc>
          <w:tcPr>
            <w:tcW w:w="2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tcPr>
          <w:p>
            <w:pPr>
              <w:spacing w:after="0"/>
              <w:rPr>
                <w:sz w:val="12"/>
                <w:szCs w:val="12"/>
                <w:color w:val="auto"/>
              </w:rPr>
            </w:pPr>
          </w:p>
        </w:tc>
        <w:tc>
          <w:tcPr>
            <w:tcW w:w="172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4"/>
                <w:szCs w:val="14"/>
                <w:color w:val="auto"/>
              </w:rPr>
              <w:t>Computer and Computer</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7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Peripheral Equipment and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Redstone Holdco 2 LP (15)</w:t>
            </w:r>
          </w:p>
        </w:tc>
        <w:tc>
          <w:tcPr>
            <w:tcW w:w="17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 Merchant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vMerge w:val="continue"/>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Wholesalers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SOFR+4.75%</w:t>
            </w:r>
          </w:p>
        </w:tc>
        <w:tc>
          <w:tcPr>
            <w:tcW w:w="9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4/16/2021</w:t>
            </w:r>
          </w:p>
        </w:tc>
        <w:tc>
          <w:tcPr>
            <w:tcW w:w="9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12/31/2030</w:t>
            </w:r>
          </w:p>
        </w:tc>
        <w:tc>
          <w:tcPr>
            <w:tcW w:w="9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223</w:t>
            </w:r>
          </w:p>
        </w:tc>
        <w:tc>
          <w:tcPr>
            <w:tcW w:w="7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220</w:t>
            </w: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SOFR+5.50%</w:t>
            </w: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1/30/2026</w:t>
            </w:r>
          </w:p>
        </w:tc>
        <w:tc>
          <w:tcPr>
            <w:tcW w:w="9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12/31/2030</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847</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812</w:t>
            </w: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0" w:type="dxa"/>
            <w:vAlign w:val="bottom"/>
          </w:tcPr>
          <w:p>
            <w:pPr>
              <w:spacing w:after="0"/>
              <w:rPr>
                <w:sz w:val="1"/>
                <w:szCs w:val="1"/>
                <w:color w:val="auto"/>
              </w:rPr>
            </w:pPr>
          </w:p>
        </w:tc>
      </w:tr>
      <w:tr>
        <w:trPr>
          <w:trHeight w:val="133"/>
        </w:trPr>
        <w:tc>
          <w:tcPr>
            <w:tcW w:w="2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1,080</w:t>
            </w:r>
          </w:p>
        </w:tc>
        <w:tc>
          <w:tcPr>
            <w:tcW w:w="7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1,067</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1,02</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71"/>
        </w:trPr>
        <w:tc>
          <w:tcPr>
            <w:tcW w:w="2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400" w:type="dxa"/>
            <w:vAlign w:val="bottom"/>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RideNow Group, Inc. (F/K/A RumbleOn,</w:t>
            </w:r>
          </w:p>
        </w:tc>
        <w:tc>
          <w:tcPr>
            <w:tcW w:w="172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4"/>
                <w:szCs w:val="14"/>
                <w:color w:val="auto"/>
              </w:rPr>
              <w:t>Other Industrial</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400" w:type="dxa"/>
            <w:vAlign w:val="bottom"/>
          </w:tcPr>
          <w:p>
            <w:pPr>
              <w:ind w:left="100"/>
              <w:spacing w:after="0"/>
              <w:rPr>
                <w:sz w:val="20"/>
                <w:szCs w:val="20"/>
                <w:color w:val="auto"/>
              </w:rPr>
            </w:pPr>
            <w:r>
              <w:rPr>
                <w:rFonts w:ascii="Times New Roman" w:cs="Times New Roman" w:eastAsia="Times New Roman" w:hAnsi="Times New Roman"/>
                <w:sz w:val="14"/>
                <w:szCs w:val="14"/>
                <w:i w:val="1"/>
                <w:iCs w:val="1"/>
                <w:color w:val="auto"/>
              </w:rPr>
              <w:t>Inc.) (15) (16)</w:t>
            </w: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Machinery Manufacturing</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40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Warrants (warrants to purchase up to</w:t>
            </w: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8/31/2021</w:t>
            </w:r>
          </w:p>
        </w:tc>
        <w:tc>
          <w:tcPr>
            <w:tcW w:w="920" w:type="dxa"/>
            <w:vAlign w:val="bottom"/>
            <w:gridSpan w:val="2"/>
            <w:shd w:val="clear" w:color="auto" w:fill="CCEEFF"/>
          </w:tcPr>
          <w:p>
            <w:pPr>
              <w:jc w:val="center"/>
              <w:ind w:left="28"/>
              <w:spacing w:after="0" w:line="139" w:lineRule="exact"/>
              <w:rPr>
                <w:sz w:val="20"/>
                <w:szCs w:val="20"/>
                <w:color w:val="auto"/>
              </w:rPr>
            </w:pPr>
            <w:r>
              <w:rPr>
                <w:rFonts w:ascii="Times New Roman" w:cs="Times New Roman" w:eastAsia="Times New Roman" w:hAnsi="Times New Roman"/>
                <w:sz w:val="14"/>
                <w:szCs w:val="14"/>
                <w:color w:val="auto"/>
              </w:rPr>
              <w:t>8/10/2030</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200</w:t>
            </w:r>
          </w:p>
        </w:tc>
        <w:tc>
          <w:tcPr>
            <w:tcW w:w="60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71"/>
        </w:trPr>
        <w:tc>
          <w:tcPr>
            <w:tcW w:w="2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$73 in common stock) (10)</w:t>
            </w: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2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7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RPLF Holdings, LLC (10) (13)</w:t>
            </w:r>
          </w:p>
        </w:tc>
        <w:tc>
          <w:tcPr>
            <w:tcW w:w="1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Software Publishers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Common Equity (345,339 Class A units)</w:t>
            </w: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1/17/2018</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2,25</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171"/>
        </w:trPr>
        <w:tc>
          <w:tcPr>
            <w:tcW w:w="2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Sentry Centers Holdings, LLC (10) (13)</w:t>
            </w:r>
          </w:p>
        </w:tc>
        <w:tc>
          <w:tcPr>
            <w:tcW w:w="172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4"/>
                <w:szCs w:val="14"/>
                <w:color w:val="auto"/>
              </w:rPr>
              <w:t>Convention and Trade</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vMerge w:val="continue"/>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Show Organizers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Equity (1,603 Series B units)</w:t>
            </w: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9/4/2020</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160</w:t>
            </w: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7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New Single-Family</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Signal Parent, Inc. (6) (14) (15)</w:t>
            </w:r>
          </w:p>
        </w:tc>
        <w:tc>
          <w:tcPr>
            <w:tcW w:w="17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Housing Construction</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vMerge w:val="continue"/>
            <w:shd w:val="clear" w:color="auto" w:fill="CCEEFF"/>
          </w:tcPr>
          <w:p>
            <w:pPr>
              <w:spacing w:after="0"/>
              <w:rPr>
                <w:sz w:val="14"/>
                <w:szCs w:val="14"/>
                <w:color w:val="auto"/>
              </w:rPr>
            </w:pPr>
          </w:p>
        </w:tc>
        <w:tc>
          <w:tcPr>
            <w:tcW w:w="1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(except For-Sale Builders)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SOFR+3.50%</w:t>
            </w: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3/25/2021</w:t>
            </w:r>
          </w:p>
        </w:tc>
        <w:tc>
          <w:tcPr>
            <w:tcW w:w="9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4/3/2028</w:t>
            </w: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1,506</w:t>
            </w:r>
          </w:p>
        </w:tc>
        <w:tc>
          <w:tcPr>
            <w:tcW w:w="7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1,503</w:t>
            </w: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397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5584825</wp:posOffset>
            </wp:positionH>
            <wp:positionV relativeFrom="paragraph">
              <wp:posOffset>-4987925</wp:posOffset>
            </wp:positionV>
            <wp:extent cx="68580" cy="2057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-4987925</wp:posOffset>
            </wp:positionV>
            <wp:extent cx="68580" cy="2057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6416040</wp:posOffset>
            </wp:positionH>
            <wp:positionV relativeFrom="paragraph">
              <wp:posOffset>-4987925</wp:posOffset>
            </wp:positionV>
            <wp:extent cx="77470" cy="2057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20574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321945</wp:posOffset>
            </wp:positionV>
            <wp:extent cx="71831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504" w:right="318"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3"/>
                <w:szCs w:val="13"/>
                <w:color w:val="auto"/>
              </w:rPr>
            </w:pPr>
          </w:p>
        </w:tc>
        <w:tc>
          <w:tcPr>
            <w:tcW w:w="6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Amorti</w:t>
            </w:r>
          </w:p>
        </w:tc>
        <w:tc>
          <w:tcPr>
            <w:tcW w:w="100" w:type="dxa"/>
            <w:vAlign w:val="bottom"/>
          </w:tcPr>
          <w:p>
            <w:pPr>
              <w:spacing w:after="0"/>
              <w:rPr>
                <w:sz w:val="13"/>
                <w:szCs w:val="13"/>
                <w:color w:val="auto"/>
              </w:rPr>
            </w:pPr>
          </w:p>
        </w:tc>
        <w:tc>
          <w:tcPr>
            <w:tcW w:w="5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3"/>
                <w:szCs w:val="13"/>
                <w:color w:val="auto"/>
              </w:rPr>
            </w:pP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Above Index</w:t>
            </w: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zed</w:t>
            </w:r>
          </w:p>
        </w:tc>
        <w:tc>
          <w:tcPr>
            <w:tcW w:w="100" w:type="dxa"/>
            <w:vAlign w:val="bottom"/>
          </w:tcPr>
          <w:p>
            <w:pPr>
              <w:spacing w:after="0"/>
              <w:rPr>
                <w:sz w:val="12"/>
                <w:szCs w:val="12"/>
                <w:color w:val="auto"/>
              </w:rPr>
            </w:pPr>
          </w:p>
        </w:tc>
        <w:tc>
          <w:tcPr>
            <w:tcW w:w="5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2"/>
                <w:szCs w:val="12"/>
                <w:color w:val="auto"/>
              </w:rPr>
            </w:pPr>
          </w:p>
        </w:tc>
        <w:tc>
          <w:tcPr>
            <w:tcW w:w="1040" w:type="dxa"/>
            <w:vAlign w:val="bottom"/>
          </w:tcPr>
          <w:p>
            <w:pPr>
              <w:jc w:val="right"/>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3"/>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20" w:type="dxa"/>
            <w:vAlign w:val="bottom"/>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55"/>
        </w:trPr>
        <w:tc>
          <w:tcPr>
            <w:tcW w:w="24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Staples, Inc. (14) (15)</w:t>
            </w:r>
          </w:p>
        </w:tc>
        <w:tc>
          <w:tcPr>
            <w:tcW w:w="170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4"/>
                <w:szCs w:val="14"/>
                <w:color w:val="auto"/>
              </w:rPr>
              <w:t>Business to Business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vMerge w:val="continue"/>
          </w:tcPr>
          <w:p>
            <w:pPr>
              <w:spacing w:after="0"/>
              <w:rPr>
                <w:sz w:val="14"/>
                <w:szCs w:val="14"/>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Electronic Markets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9.56%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SOFR+5.75%</w:t>
            </w:r>
          </w:p>
        </w:tc>
        <w:tc>
          <w:tcPr>
            <w:tcW w:w="94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5/23/2024</w:t>
            </w:r>
          </w:p>
        </w:tc>
        <w:tc>
          <w:tcPr>
            <w:tcW w:w="9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9/4/2029</w:t>
            </w:r>
          </w:p>
        </w:tc>
        <w:tc>
          <w:tcPr>
            <w:tcW w:w="9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525</w:t>
            </w:r>
          </w:p>
        </w:tc>
        <w:tc>
          <w:tcPr>
            <w:tcW w:w="7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513</w:t>
            </w: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7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TalentSmart Holdings, LLC (10) (13)</w:t>
            </w:r>
          </w:p>
        </w:tc>
        <w:tc>
          <w:tcPr>
            <w:tcW w:w="1700" w:type="dxa"/>
            <w:vAlign w:val="bottom"/>
            <w:gridSpan w:val="2"/>
            <w:shd w:val="clear" w:color="auto" w:fill="CCEEFF"/>
          </w:tcPr>
          <w:p>
            <w:pPr>
              <w:ind w:left="100"/>
              <w:spacing w:after="0" w:line="139" w:lineRule="exact"/>
              <w:rPr>
                <w:sz w:val="20"/>
                <w:szCs w:val="20"/>
                <w:color w:val="auto"/>
              </w:rPr>
            </w:pPr>
            <w:r>
              <w:rPr>
                <w:rFonts w:ascii="Times New Roman" w:cs="Times New Roman" w:eastAsia="Times New Roman" w:hAnsi="Times New Roman"/>
                <w:sz w:val="14"/>
                <w:szCs w:val="14"/>
                <w:color w:val="auto"/>
              </w:rPr>
              <w:t>Professional and</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20" w:type="dxa"/>
            <w:vAlign w:val="bottom"/>
            <w:vMerge w:val="continue"/>
            <w:shd w:val="clear" w:color="auto" w:fill="CCEEFF"/>
          </w:tcPr>
          <w:p>
            <w:pPr>
              <w:spacing w:after="0"/>
              <w:rPr>
                <w:sz w:val="12"/>
                <w:szCs w:val="12"/>
                <w:color w:val="auto"/>
              </w:rPr>
            </w:pPr>
          </w:p>
        </w:tc>
        <w:tc>
          <w:tcPr>
            <w:tcW w:w="1700" w:type="dxa"/>
            <w:vAlign w:val="bottom"/>
            <w:gridSpan w:val="2"/>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Management Development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(20)</w:t>
            </w:r>
          </w:p>
        </w:tc>
        <w:tc>
          <w:tcPr>
            <w:tcW w:w="1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Training</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Equity (670 Class A</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10/11/2019</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670</w:t>
            </w:r>
          </w:p>
        </w:tc>
        <w:tc>
          <w:tcPr>
            <w:tcW w:w="6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620</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0" w:type="dxa"/>
            <w:vAlign w:val="bottom"/>
          </w:tcPr>
          <w:p>
            <w:pPr>
              <w:spacing w:after="0"/>
              <w:rPr>
                <w:sz w:val="1"/>
                <w:szCs w:val="1"/>
                <w:color w:val="auto"/>
              </w:rPr>
            </w:pPr>
          </w:p>
        </w:tc>
      </w:tr>
      <w:tr>
        <w:trPr>
          <w:trHeight w:val="171"/>
        </w:trPr>
        <w:tc>
          <w:tcPr>
            <w:tcW w:w="2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Tolemar Acquisition, Inc.</w:t>
            </w:r>
          </w:p>
        </w:tc>
        <w:tc>
          <w:tcPr>
            <w:tcW w:w="170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4"/>
                <w:szCs w:val="14"/>
                <w:color w:val="auto"/>
              </w:rPr>
              <w:t>Motorcycle, Bicycle, and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vMerge w:val="continue"/>
          </w:tcPr>
          <w:p>
            <w:pPr>
              <w:spacing w:after="0"/>
              <w:rPr>
                <w:sz w:val="14"/>
                <w:szCs w:val="14"/>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Parts Manufacturing</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14,55</w:t>
            </w:r>
          </w:p>
        </w:tc>
        <w:tc>
          <w:tcPr>
            <w:tcW w:w="60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7,81</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cash /</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SOFR+6.00%</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10/14/2021</w:t>
            </w:r>
          </w:p>
        </w:tc>
        <w:tc>
          <w:tcPr>
            <w:tcW w:w="92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10/14/2027</w:t>
            </w:r>
          </w:p>
        </w:tc>
        <w:tc>
          <w:tcPr>
            <w:tcW w:w="9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14,580</w:t>
            </w:r>
          </w:p>
        </w:tc>
        <w:tc>
          <w:tcPr>
            <w:tcW w:w="700" w:type="dxa"/>
            <w:vAlign w:val="bottom"/>
            <w:gridSpan w:val="2"/>
            <w:vMerge w:val="continue"/>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0" w:type="dxa"/>
            <w:vAlign w:val="bottom"/>
          </w:tcPr>
          <w:p>
            <w:pPr>
              <w:spacing w:after="0"/>
              <w:rPr>
                <w:sz w:val="1"/>
                <w:szCs w:val="1"/>
                <w:color w:val="auto"/>
              </w:rPr>
            </w:pPr>
          </w:p>
        </w:tc>
      </w:tr>
      <w:tr>
        <w:trPr>
          <w:trHeight w:val="171"/>
        </w:trPr>
        <w:tc>
          <w:tcPr>
            <w:tcW w:w="24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 PIK</w:t>
            </w: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SOFR+6.00%</w:t>
            </w:r>
          </w:p>
        </w:tc>
        <w:tc>
          <w:tcPr>
            <w:tcW w:w="9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10/14/2021</w:t>
            </w:r>
          </w:p>
        </w:tc>
        <w:tc>
          <w:tcPr>
            <w:tcW w:w="9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10/14/2027</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1,235</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1,234</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519</w:t>
            </w: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0" w:type="dxa"/>
            <w:vAlign w:val="bottom"/>
          </w:tcPr>
          <w:p>
            <w:pPr>
              <w:spacing w:after="0"/>
              <w:rPr>
                <w:sz w:val="1"/>
                <w:szCs w:val="1"/>
                <w:color w:val="auto"/>
              </w:rPr>
            </w:pPr>
          </w:p>
        </w:tc>
      </w:tr>
      <w:tr>
        <w:trPr>
          <w:trHeight w:val="133"/>
        </w:trPr>
        <w:tc>
          <w:tcPr>
            <w:tcW w:w="2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15,815</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15,78</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8,33</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8.4 %</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6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5584825</wp:posOffset>
            </wp:positionH>
            <wp:positionV relativeFrom="paragraph">
              <wp:posOffset>-7620</wp:posOffset>
            </wp:positionV>
            <wp:extent cx="68580" cy="3003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-7620</wp:posOffset>
            </wp:positionV>
            <wp:extent cx="68580" cy="3003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6416040</wp:posOffset>
            </wp:positionH>
            <wp:positionV relativeFrom="paragraph">
              <wp:posOffset>-7620</wp:posOffset>
            </wp:positionV>
            <wp:extent cx="77470" cy="3003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300355"/>
                    </a:xfrm>
                    <a:prstGeom prst="rect">
                      <a:avLst/>
                    </a:prstGeom>
                    <a:noFill/>
                  </pic:spPr>
                </pic:pic>
              </a:graphicData>
            </a:graphic>
          </wp:anchor>
        </w:drawing>
      </w:r>
    </w:p>
    <w:p>
      <w:pPr>
        <w:sectPr>
          <w:pgSz w:w="11920" w:h="16838" w:orient="portrait"/>
          <w:cols w:equalWidth="0" w:num="1">
            <w:col w:w="11260"/>
          </w:cols>
          <w:pgMar w:left="340" w:top="504" w:right="318" w:bottom="1440" w:gutter="0" w:footer="0" w:header="0"/>
        </w:sectPr>
      </w:pPr>
    </w:p>
    <w:p>
      <w:pPr>
        <w:spacing w:after="0" w:line="231" w:lineRule="auto"/>
        <w:rPr>
          <w:sz w:val="20"/>
          <w:szCs w:val="20"/>
          <w:color w:val="auto"/>
        </w:rPr>
      </w:pPr>
      <w:r>
        <w:rPr>
          <w:rFonts w:ascii="Times New Roman" w:cs="Times New Roman" w:eastAsia="Times New Roman" w:hAnsi="Times New Roman"/>
          <w:sz w:val="14"/>
          <w:szCs w:val="14"/>
          <w:b w:val="1"/>
          <w:bCs w:val="1"/>
          <w:color w:val="auto"/>
        </w:rPr>
        <w:t>Total Debt and Equity Investments -</w:t>
      </w:r>
    </w:p>
    <w:p>
      <w:pPr>
        <w:ind w:left="100"/>
        <w:spacing w:after="0" w:line="221" w:lineRule="auto"/>
        <w:rPr>
          <w:sz w:val="20"/>
          <w:szCs w:val="20"/>
          <w:color w:val="auto"/>
        </w:rPr>
      </w:pPr>
      <w:r>
        <w:rPr>
          <w:rFonts w:ascii="Times New Roman" w:cs="Times New Roman" w:eastAsia="Times New Roman" w:hAnsi="Times New Roman"/>
          <w:sz w:val="14"/>
          <w:szCs w:val="14"/>
          <w:b w:val="1"/>
          <w:bCs w:val="1"/>
          <w:color w:val="auto"/>
        </w:rPr>
        <w:t>Non- control/Non-affiliate</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Investments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Structured Finance Securities (16)</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   143,140</w:t>
            </w:r>
          </w:p>
        </w:tc>
        <w:tc>
          <w:tcPr>
            <w:tcW w:w="100" w:type="dxa"/>
            <w:vAlign w:val="bottom"/>
            <w:vMerge w:val="restart"/>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155,8</w:t>
            </w: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vMerge w:val="restart"/>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116.1 %</w:t>
            </w:r>
          </w:p>
        </w:tc>
        <w:tc>
          <w:tcPr>
            <w:tcW w:w="0" w:type="dxa"/>
            <w:vAlign w:val="bottom"/>
          </w:tcPr>
          <w:p>
            <w:pPr>
              <w:spacing w:after="0"/>
              <w:rPr>
                <w:sz w:val="1"/>
                <w:szCs w:val="1"/>
                <w:color w:val="auto"/>
              </w:rPr>
            </w:pPr>
          </w:p>
        </w:tc>
      </w:tr>
      <w:tr>
        <w:trPr>
          <w:trHeight w:val="171"/>
        </w:trPr>
        <w:tc>
          <w:tcPr>
            <w:tcW w:w="8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$ 846</w:t>
            </w:r>
          </w:p>
        </w:tc>
        <w:tc>
          <w:tcPr>
            <w:tcW w:w="12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0</wp:posOffset>
            </wp:positionV>
            <wp:extent cx="7157720" cy="1028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102870"/>
                    </a:xfrm>
                    <a:prstGeom prst="rect">
                      <a:avLst/>
                    </a:prstGeom>
                    <a:noFill/>
                  </pic:spPr>
                </pic:pic>
              </a:graphicData>
            </a:graphic>
          </wp:anchor>
        </w:drawing>
      </w:r>
    </w:p>
    <w:p>
      <w:pPr>
        <w:spacing w:after="0" w:line="343" w:lineRule="exact"/>
        <w:rPr>
          <w:sz w:val="20"/>
          <w:szCs w:val="20"/>
          <w:color w:val="auto"/>
        </w:rPr>
      </w:pPr>
    </w:p>
    <w:p>
      <w:pPr>
        <w:sectPr>
          <w:pgSz w:w="11920" w:h="16838" w:orient="portrait"/>
          <w:cols w:equalWidth="0" w:num="2">
            <w:col w:w="7220" w:space="720"/>
            <w:col w:w="3320"/>
          </w:cols>
          <w:pgMar w:left="340" w:top="504" w:right="318"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32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Apex Credit CLO 2020 Ltd. (7) (9)</w:t>
            </w:r>
          </w:p>
        </w:tc>
        <w:tc>
          <w:tcPr>
            <w:tcW w:w="1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760" w:type="dxa"/>
            <w:vAlign w:val="bottom"/>
            <w:vMerge w:val="restart"/>
            <w:shd w:val="clear" w:color="auto" w:fill="CCEEFF"/>
          </w:tcPr>
          <w:p>
            <w:pPr>
              <w:jc w:val="center"/>
              <w:ind w:left="748"/>
              <w:spacing w:after="0"/>
              <w:rPr>
                <w:sz w:val="20"/>
                <w:szCs w:val="20"/>
                <w:color w:val="auto"/>
              </w:rPr>
            </w:pPr>
            <w:r>
              <w:rPr>
                <w:rFonts w:ascii="Times New Roman" w:cs="Times New Roman" w:eastAsia="Times New Roman" w:hAnsi="Times New Roman"/>
                <w:sz w:val="14"/>
                <w:szCs w:val="14"/>
                <w:color w:val="auto"/>
              </w:rPr>
              <w:t>4.34%</w:t>
            </w:r>
          </w:p>
        </w:tc>
        <w:tc>
          <w:tcPr>
            <w:tcW w:w="82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N/A</w:t>
            </w:r>
          </w:p>
        </w:tc>
        <w:tc>
          <w:tcPr>
            <w:tcW w:w="1100" w:type="dxa"/>
            <w:vAlign w:val="bottom"/>
            <w:vMerge w:val="restart"/>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11/16/2020</w:t>
            </w:r>
          </w:p>
        </w:tc>
        <w:tc>
          <w:tcPr>
            <w:tcW w:w="11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4/20/2035   $</w:t>
            </w:r>
          </w:p>
        </w:tc>
        <w:tc>
          <w:tcPr>
            <w:tcW w:w="6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11,080</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$ 8,745</w:t>
            </w:r>
          </w:p>
        </w:tc>
        <w:tc>
          <w:tcPr>
            <w:tcW w:w="960" w:type="dxa"/>
            <w:vAlign w:val="bottom"/>
            <w:shd w:val="clear" w:color="auto" w:fill="CCEEFF"/>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2,43</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171"/>
        </w:trPr>
        <w:tc>
          <w:tcPr>
            <w:tcW w:w="3280" w:type="dxa"/>
            <w:vAlign w:val="bottom"/>
            <w:vMerge w:val="continue"/>
            <w:shd w:val="clear" w:color="auto" w:fill="CCEEFF"/>
          </w:tcPr>
          <w:p>
            <w:pPr>
              <w:spacing w:after="0"/>
              <w:rPr>
                <w:sz w:val="14"/>
                <w:szCs w:val="14"/>
                <w:color w:val="auto"/>
              </w:rPr>
            </w:pPr>
          </w:p>
        </w:tc>
        <w:tc>
          <w:tcPr>
            <w:tcW w:w="176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   8</w:t>
            </w: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Apex Credit CLO 2021 Ltd. (4) (7) (9)</w:t>
            </w:r>
          </w:p>
        </w:tc>
        <w:tc>
          <w:tcPr>
            <w:tcW w:w="1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760" w:type="dxa"/>
            <w:vAlign w:val="bottom"/>
            <w:vMerge w:val="restart"/>
          </w:tcPr>
          <w:p>
            <w:pPr>
              <w:jc w:val="center"/>
              <w:ind w:left="748"/>
              <w:spacing w:after="0"/>
              <w:rPr>
                <w:sz w:val="20"/>
                <w:szCs w:val="20"/>
                <w:color w:val="auto"/>
              </w:rPr>
            </w:pPr>
            <w:r>
              <w:rPr>
                <w:rFonts w:ascii="Times New Roman" w:cs="Times New Roman" w:eastAsia="Times New Roman" w:hAnsi="Times New Roman"/>
                <w:sz w:val="14"/>
                <w:szCs w:val="14"/>
                <w:color w:val="auto"/>
              </w:rPr>
              <w:t>0.00%</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N/A</w:t>
            </w:r>
          </w:p>
        </w:tc>
        <w:tc>
          <w:tcPr>
            <w:tcW w:w="110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rPr>
              <w:t>5/28/2021</w:t>
            </w:r>
          </w:p>
        </w:tc>
        <w:tc>
          <w:tcPr>
            <w:tcW w:w="118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7/18/2034</w:t>
            </w: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8,630</w:t>
            </w: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4,587</w:t>
            </w:r>
          </w:p>
        </w:tc>
        <w:tc>
          <w:tcPr>
            <w:tcW w:w="96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4</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BlueMountain CLO XXXV Ltd. (7) (9)</w:t>
            </w:r>
          </w:p>
        </w:tc>
        <w:tc>
          <w:tcPr>
            <w:tcW w:w="1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760" w:type="dxa"/>
            <w:vAlign w:val="bottom"/>
            <w:vMerge w:val="restart"/>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rPr>
              <w:t>14.01%</w:t>
            </w:r>
          </w:p>
        </w:tc>
        <w:tc>
          <w:tcPr>
            <w:tcW w:w="82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N/A</w:t>
            </w:r>
          </w:p>
        </w:tc>
        <w:tc>
          <w:tcPr>
            <w:tcW w:w="1100" w:type="dxa"/>
            <w:vAlign w:val="bottom"/>
            <w:vMerge w:val="restart"/>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10/30/2024</w:t>
            </w:r>
          </w:p>
        </w:tc>
        <w:tc>
          <w:tcPr>
            <w:tcW w:w="1180" w:type="dxa"/>
            <w:vAlign w:val="bottom"/>
            <w:vMerge w:val="restart"/>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rPr>
              <w:t>10/22/2037</w:t>
            </w:r>
          </w:p>
        </w:tc>
        <w:tc>
          <w:tcPr>
            <w:tcW w:w="6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7,800</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6,078</w:t>
            </w:r>
          </w:p>
        </w:tc>
        <w:tc>
          <w:tcPr>
            <w:tcW w:w="960" w:type="dxa"/>
            <w:vAlign w:val="bottom"/>
            <w:shd w:val="clear" w:color="auto" w:fill="CCEEFF"/>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3,75</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0" w:type="dxa"/>
            <w:vAlign w:val="bottom"/>
          </w:tcPr>
          <w:p>
            <w:pPr>
              <w:spacing w:after="0"/>
              <w:rPr>
                <w:sz w:val="1"/>
                <w:szCs w:val="1"/>
                <w:color w:val="auto"/>
              </w:rPr>
            </w:pPr>
          </w:p>
        </w:tc>
      </w:tr>
      <w:tr>
        <w:trPr>
          <w:trHeight w:val="171"/>
        </w:trPr>
        <w:tc>
          <w:tcPr>
            <w:tcW w:w="3280" w:type="dxa"/>
            <w:vAlign w:val="bottom"/>
            <w:vMerge w:val="continue"/>
            <w:shd w:val="clear" w:color="auto" w:fill="CCEEFF"/>
          </w:tcPr>
          <w:p>
            <w:pPr>
              <w:spacing w:after="0"/>
              <w:rPr>
                <w:sz w:val="14"/>
                <w:szCs w:val="14"/>
                <w:color w:val="auto"/>
              </w:rPr>
            </w:pPr>
          </w:p>
        </w:tc>
        <w:tc>
          <w:tcPr>
            <w:tcW w:w="176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2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Brightwood Capital MM CLO 2023-1,</w:t>
            </w:r>
          </w:p>
        </w:tc>
        <w:tc>
          <w:tcPr>
            <w:tcW w:w="17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i w:val="1"/>
                <w:iCs w:val="1"/>
                <w:color w:val="auto"/>
              </w:rPr>
              <w:t>Ltd. (7) (9)</w:t>
            </w:r>
          </w:p>
        </w:tc>
        <w:tc>
          <w:tcPr>
            <w:tcW w:w="17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760" w:type="dxa"/>
            <w:vAlign w:val="bottom"/>
            <w:vMerge w:val="restart"/>
          </w:tcPr>
          <w:p>
            <w:pPr>
              <w:jc w:val="center"/>
              <w:ind w:left="728"/>
              <w:spacing w:after="0"/>
              <w:rPr>
                <w:sz w:val="20"/>
                <w:szCs w:val="20"/>
                <w:color w:val="auto"/>
              </w:rPr>
            </w:pPr>
            <w:r>
              <w:rPr>
                <w:rFonts w:ascii="Times New Roman" w:cs="Times New Roman" w:eastAsia="Times New Roman" w:hAnsi="Times New Roman"/>
                <w:sz w:val="14"/>
                <w:szCs w:val="14"/>
                <w:color w:val="auto"/>
              </w:rPr>
              <w:t>26.30%</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N/A</w:t>
            </w:r>
          </w:p>
        </w:tc>
        <w:tc>
          <w:tcPr>
            <w:tcW w:w="110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rPr>
              <w:t>9/28/2023</w:t>
            </w:r>
          </w:p>
        </w:tc>
        <w:tc>
          <w:tcPr>
            <w:tcW w:w="118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10/15/2035</w:t>
            </w: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5,494</w:t>
            </w: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4,292</w:t>
            </w:r>
          </w:p>
        </w:tc>
        <w:tc>
          <w:tcPr>
            <w:tcW w:w="96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4,30</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0</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Canyon CLO 2019-1, Ltd. (7) (9)</w:t>
            </w:r>
          </w:p>
        </w:tc>
        <w:tc>
          <w:tcPr>
            <w:tcW w:w="1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760" w:type="dxa"/>
            <w:vAlign w:val="bottom"/>
            <w:vMerge w:val="restart"/>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rPr>
              <w:t>15.64%</w:t>
            </w:r>
          </w:p>
        </w:tc>
        <w:tc>
          <w:tcPr>
            <w:tcW w:w="82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N/A</w:t>
            </w:r>
          </w:p>
        </w:tc>
        <w:tc>
          <w:tcPr>
            <w:tcW w:w="1100" w:type="dxa"/>
            <w:vAlign w:val="bottom"/>
            <w:vMerge w:val="restart"/>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8/22/2024</w:t>
            </w:r>
          </w:p>
        </w:tc>
        <w:tc>
          <w:tcPr>
            <w:tcW w:w="1180" w:type="dxa"/>
            <w:vAlign w:val="bottom"/>
            <w:vMerge w:val="restart"/>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rPr>
              <w:t>7/15/2037</w:t>
            </w:r>
          </w:p>
        </w:tc>
        <w:tc>
          <w:tcPr>
            <w:tcW w:w="6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18,453</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9,782</w:t>
            </w:r>
          </w:p>
        </w:tc>
        <w:tc>
          <w:tcPr>
            <w:tcW w:w="960" w:type="dxa"/>
            <w:vAlign w:val="bottom"/>
            <w:shd w:val="clear" w:color="auto" w:fill="CCEEFF"/>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6,90</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0" w:type="dxa"/>
            <w:vAlign w:val="bottom"/>
          </w:tcPr>
          <w:p>
            <w:pPr>
              <w:spacing w:after="0"/>
              <w:rPr>
                <w:sz w:val="1"/>
                <w:szCs w:val="1"/>
                <w:color w:val="auto"/>
              </w:rPr>
            </w:pPr>
          </w:p>
        </w:tc>
      </w:tr>
      <w:tr>
        <w:trPr>
          <w:trHeight w:val="171"/>
        </w:trPr>
        <w:tc>
          <w:tcPr>
            <w:tcW w:w="3280" w:type="dxa"/>
            <w:vAlign w:val="bottom"/>
            <w:vMerge w:val="continue"/>
            <w:shd w:val="clear" w:color="auto" w:fill="CCEEFF"/>
          </w:tcPr>
          <w:p>
            <w:pPr>
              <w:spacing w:after="0"/>
              <w:rPr>
                <w:sz w:val="14"/>
                <w:szCs w:val="14"/>
                <w:color w:val="auto"/>
              </w:rPr>
            </w:pPr>
          </w:p>
        </w:tc>
        <w:tc>
          <w:tcPr>
            <w:tcW w:w="176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2</w:t>
            </w: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ICG US CLO 2021-3, Ltd. (7) (9)</w:t>
            </w:r>
          </w:p>
        </w:tc>
        <w:tc>
          <w:tcPr>
            <w:tcW w:w="1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760" w:type="dxa"/>
            <w:vAlign w:val="bottom"/>
            <w:vMerge w:val="restart"/>
          </w:tcPr>
          <w:p>
            <w:pPr>
              <w:jc w:val="center"/>
              <w:ind w:left="728"/>
              <w:spacing w:after="0"/>
              <w:rPr>
                <w:sz w:val="20"/>
                <w:szCs w:val="20"/>
                <w:color w:val="auto"/>
              </w:rPr>
            </w:pPr>
            <w:r>
              <w:rPr>
                <w:rFonts w:ascii="Times New Roman" w:cs="Times New Roman" w:eastAsia="Times New Roman" w:hAnsi="Times New Roman"/>
                <w:sz w:val="14"/>
                <w:szCs w:val="14"/>
                <w:color w:val="auto"/>
              </w:rPr>
              <w:t>14.76%</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N/A</w:t>
            </w:r>
          </w:p>
        </w:tc>
        <w:tc>
          <w:tcPr>
            <w:tcW w:w="110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rPr>
              <w:t>8/8/2024</w:t>
            </w:r>
          </w:p>
        </w:tc>
        <w:tc>
          <w:tcPr>
            <w:tcW w:w="118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10/20/2034</w:t>
            </w: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16,750</w:t>
            </w: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7,417</w:t>
            </w:r>
          </w:p>
        </w:tc>
        <w:tc>
          <w:tcPr>
            <w:tcW w:w="96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4,93</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5</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LCM 42 Ltd.(7) (9)</w:t>
            </w:r>
          </w:p>
        </w:tc>
        <w:tc>
          <w:tcPr>
            <w:tcW w:w="1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Subordinated Notes</w:t>
            </w:r>
          </w:p>
        </w:tc>
        <w:tc>
          <w:tcPr>
            <w:tcW w:w="1760" w:type="dxa"/>
            <w:vAlign w:val="bottom"/>
            <w:vMerge w:val="restart"/>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rPr>
              <w:t>15.94%</w:t>
            </w:r>
          </w:p>
        </w:tc>
        <w:tc>
          <w:tcPr>
            <w:tcW w:w="82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N/A</w:t>
            </w:r>
          </w:p>
        </w:tc>
        <w:tc>
          <w:tcPr>
            <w:tcW w:w="1100" w:type="dxa"/>
            <w:vAlign w:val="bottom"/>
            <w:vMerge w:val="restart"/>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12/19/2024</w:t>
            </w:r>
          </w:p>
        </w:tc>
        <w:tc>
          <w:tcPr>
            <w:tcW w:w="1180" w:type="dxa"/>
            <w:vAlign w:val="bottom"/>
            <w:vMerge w:val="restart"/>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rPr>
              <w:t>1/15/2038</w:t>
            </w:r>
          </w:p>
        </w:tc>
        <w:tc>
          <w:tcPr>
            <w:tcW w:w="6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3,500</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2,963</w:t>
            </w:r>
          </w:p>
        </w:tc>
        <w:tc>
          <w:tcPr>
            <w:tcW w:w="960" w:type="dxa"/>
            <w:vAlign w:val="bottom"/>
            <w:shd w:val="clear" w:color="auto" w:fill="CCEEFF"/>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2,12</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71"/>
        </w:trPr>
        <w:tc>
          <w:tcPr>
            <w:tcW w:w="3280" w:type="dxa"/>
            <w:vAlign w:val="bottom"/>
            <w:vMerge w:val="continue"/>
            <w:shd w:val="clear" w:color="auto" w:fill="CCEEFF"/>
          </w:tcPr>
          <w:p>
            <w:pPr>
              <w:spacing w:after="0"/>
              <w:rPr>
                <w:sz w:val="14"/>
                <w:szCs w:val="14"/>
                <w:color w:val="auto"/>
              </w:rPr>
            </w:pPr>
          </w:p>
        </w:tc>
        <w:tc>
          <w:tcPr>
            <w:tcW w:w="176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5</w:t>
            </w: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321945</wp:posOffset>
            </wp:positionV>
            <wp:extent cx="71831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504" w:right="318"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10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w:t>
            </w:r>
          </w:p>
        </w:tc>
        <w:tc>
          <w:tcPr>
            <w:tcW w:w="100" w:type="dxa"/>
            <w:vAlign w:val="bottom"/>
          </w:tcPr>
          <w:p>
            <w:pPr>
              <w:spacing w:after="0"/>
              <w:rPr>
                <w:sz w:val="13"/>
                <w:szCs w:val="13"/>
                <w:color w:val="auto"/>
              </w:rPr>
            </w:pPr>
          </w:p>
        </w:tc>
        <w:tc>
          <w:tcPr>
            <w:tcW w:w="5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3"/>
                <w:szCs w:val="13"/>
                <w:color w:val="auto"/>
              </w:rPr>
            </w:pP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Above Index</w:t>
            </w: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980" w:type="dxa"/>
            <w:vAlign w:val="bottom"/>
            <w:gridSpan w:val="3"/>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zed</w:t>
            </w:r>
          </w:p>
        </w:tc>
        <w:tc>
          <w:tcPr>
            <w:tcW w:w="100" w:type="dxa"/>
            <w:vAlign w:val="bottom"/>
          </w:tcPr>
          <w:p>
            <w:pPr>
              <w:spacing w:after="0"/>
              <w:rPr>
                <w:sz w:val="12"/>
                <w:szCs w:val="12"/>
                <w:color w:val="auto"/>
              </w:rPr>
            </w:pPr>
          </w:p>
        </w:tc>
        <w:tc>
          <w:tcPr>
            <w:tcW w:w="5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2"/>
                <w:szCs w:val="12"/>
                <w:color w:val="auto"/>
              </w:rPr>
            </w:pPr>
          </w:p>
        </w:tc>
        <w:tc>
          <w:tcPr>
            <w:tcW w:w="1040" w:type="dxa"/>
            <w:vAlign w:val="bottom"/>
          </w:tcPr>
          <w:p>
            <w:pPr>
              <w:jc w:val="right"/>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3"/>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4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0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20" w:type="dxa"/>
            <w:vAlign w:val="bottom"/>
          </w:tcPr>
          <w:p>
            <w:pPr>
              <w:spacing w:after="0"/>
              <w:rPr>
                <w:sz w:val="15"/>
                <w:szCs w:val="15"/>
                <w:color w:val="auto"/>
              </w:rPr>
            </w:pPr>
          </w:p>
        </w:tc>
        <w:tc>
          <w:tcPr>
            <w:tcW w:w="10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56"/>
        </w:trPr>
        <w:tc>
          <w:tcPr>
            <w:tcW w:w="2400" w:type="dxa"/>
            <w:vAlign w:val="bottom"/>
            <w:tcBorders>
              <w:top w:val="single" w:sz="8" w:color="auto"/>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Trinitas CLO VIII, Ltd. (4) (7) (9) (10)</w:t>
            </w:r>
          </w:p>
        </w:tc>
        <w:tc>
          <w:tcPr>
            <w:tcW w:w="140" w:type="dxa"/>
            <w:vAlign w:val="bottom"/>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tcPr>
          <w:p>
            <w:pPr>
              <w:spacing w:after="0"/>
              <w:rPr>
                <w:sz w:val="14"/>
                <w:szCs w:val="14"/>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3/4/2021</w:t>
            </w:r>
          </w:p>
        </w:tc>
        <w:tc>
          <w:tcPr>
            <w:tcW w:w="9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7/20/2117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5,200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2"/>
        </w:trPr>
        <w:tc>
          <w:tcPr>
            <w:tcW w:w="1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Venture 45 CLO, Limited</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Mezzanine Debt - Class E</w:t>
            </w: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11.43%</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SOFR+7.70%</w:t>
            </w:r>
          </w:p>
        </w:tc>
        <w:tc>
          <w:tcPr>
            <w:tcW w:w="9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4/18/2022</w:t>
            </w:r>
          </w:p>
        </w:tc>
        <w:tc>
          <w:tcPr>
            <w:tcW w:w="92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7/20/2035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2,971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1,67</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171"/>
        </w:trPr>
        <w:tc>
          <w:tcPr>
            <w:tcW w:w="24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49,14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27,1</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Structured Finance Securities</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79,907</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27.5 %</w:t>
            </w:r>
          </w:p>
        </w:tc>
        <w:tc>
          <w:tcPr>
            <w:tcW w:w="0" w:type="dxa"/>
            <w:vAlign w:val="bottom"/>
          </w:tcPr>
          <w:p>
            <w:pPr>
              <w:spacing w:after="0"/>
              <w:rPr>
                <w:sz w:val="1"/>
                <w:szCs w:val="1"/>
                <w:color w:val="auto"/>
              </w:rPr>
            </w:pPr>
          </w:p>
        </w:tc>
      </w:tr>
      <w:tr>
        <w:trPr>
          <w:trHeight w:val="155"/>
        </w:trPr>
        <w:tc>
          <w:tcPr>
            <w:tcW w:w="12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4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Non-control/Non-affiliate</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223,047</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205,0</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141,</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143.6 %</w:t>
            </w:r>
          </w:p>
        </w:tc>
        <w:tc>
          <w:tcPr>
            <w:tcW w:w="0" w:type="dxa"/>
            <w:vAlign w:val="bottom"/>
          </w:tcPr>
          <w:p>
            <w:pPr>
              <w:spacing w:after="0"/>
              <w:rPr>
                <w:sz w:val="1"/>
                <w:szCs w:val="1"/>
                <w:color w:val="auto"/>
              </w:rPr>
            </w:pPr>
          </w:p>
        </w:tc>
      </w:tr>
      <w:tr>
        <w:trPr>
          <w:trHeight w:val="162"/>
        </w:trPr>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03</w:t>
            </w:r>
          </w:p>
        </w:tc>
        <w:tc>
          <w:tcPr>
            <w:tcW w:w="200" w:type="dxa"/>
            <w:vAlign w:val="bottom"/>
            <w:gridSpan w:val="2"/>
            <w:vMerge w:val="continue"/>
          </w:tcPr>
          <w:p>
            <w:pPr>
              <w:spacing w:after="0"/>
              <w:rPr>
                <w:sz w:val="14"/>
                <w:szCs w:val="14"/>
                <w:color w:val="auto"/>
              </w:rPr>
            </w:pP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976</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Affiliate Investments</w:t>
            </w: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280" w:type="dxa"/>
            <w:vAlign w:val="bottom"/>
            <w:tcBorders>
              <w:top w:val="single" w:sz="8" w:color="auto"/>
            </w:tcBorders>
          </w:tcPr>
          <w:p>
            <w:pPr>
              <w:spacing w:after="0"/>
              <w:rPr>
                <w:sz w:val="11"/>
                <w:szCs w:val="11"/>
                <w:color w:val="auto"/>
              </w:rPr>
            </w:pPr>
          </w:p>
        </w:tc>
        <w:tc>
          <w:tcPr>
            <w:tcW w:w="1120" w:type="dxa"/>
            <w:vAlign w:val="bottom"/>
            <w:tcBorders>
              <w:top w:val="single" w:sz="8" w:color="CCEEFF"/>
            </w:tcBorders>
          </w:tcPr>
          <w:p>
            <w:pPr>
              <w:spacing w:after="0"/>
              <w:rPr>
                <w:sz w:val="11"/>
                <w:szCs w:val="11"/>
                <w:color w:val="auto"/>
              </w:rPr>
            </w:pPr>
          </w:p>
        </w:tc>
        <w:tc>
          <w:tcPr>
            <w:tcW w:w="1720" w:type="dxa"/>
            <w:vAlign w:val="bottom"/>
            <w:tcBorders>
              <w:top w:val="single" w:sz="8" w:color="CCEEFF"/>
            </w:tcBorders>
            <w:gridSpan w:val="2"/>
          </w:tcPr>
          <w:p>
            <w:pPr>
              <w:ind w:left="120"/>
              <w:spacing w:after="0" w:line="133" w:lineRule="exact"/>
              <w:rPr>
                <w:sz w:val="20"/>
                <w:szCs w:val="20"/>
                <w:color w:val="auto"/>
              </w:rPr>
            </w:pPr>
            <w:r>
              <w:rPr>
                <w:rFonts w:ascii="Times New Roman" w:cs="Times New Roman" w:eastAsia="Times New Roman" w:hAnsi="Times New Roman"/>
                <w:sz w:val="14"/>
                <w:szCs w:val="14"/>
                <w:color w:val="auto"/>
              </w:rPr>
              <w:t>Office Machinery and</w:t>
            </w:r>
          </w:p>
        </w:tc>
        <w:tc>
          <w:tcPr>
            <w:tcW w:w="10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Contract Datascan Holdings, Inc.(8) (19)</w:t>
            </w:r>
          </w:p>
        </w:tc>
        <w:tc>
          <w:tcPr>
            <w:tcW w:w="17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Equipment Rental and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gridSpan w:val="2"/>
            <w:vMerge w:val="continue"/>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Leasing</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Preferred Equity (2,750 Series C shares),</w:t>
            </w: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8/21/2025</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3,183</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3,18</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0" w:type="dxa"/>
            <w:vAlign w:val="bottom"/>
          </w:tcPr>
          <w:p>
            <w:pPr>
              <w:spacing w:after="0"/>
              <w:rPr>
                <w:sz w:val="1"/>
                <w:szCs w:val="1"/>
                <w:color w:val="auto"/>
              </w:rPr>
            </w:pPr>
          </w:p>
        </w:tc>
      </w:tr>
      <w:tr>
        <w:trPr>
          <w:trHeight w:val="171"/>
        </w:trPr>
        <w:tc>
          <w:tcPr>
            <w:tcW w:w="2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14% PIK</w:t>
            </w: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Preferred Equity (3,061 Series A shares),</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8/5/2015</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8"/>
              <w:spacing w:after="0" w:line="139" w:lineRule="exact"/>
              <w:rPr>
                <w:sz w:val="20"/>
                <w:szCs w:val="20"/>
                <w:color w:val="auto"/>
              </w:rPr>
            </w:pPr>
            <w:r>
              <w:rPr>
                <w:rFonts w:ascii="Times New Roman" w:cs="Times New Roman" w:eastAsia="Times New Roman" w:hAnsi="Times New Roman"/>
                <w:sz w:val="14"/>
                <w:szCs w:val="14"/>
                <w:color w:val="auto"/>
              </w:rPr>
              <w:t>10,59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13,4</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13.7 %</w:t>
            </w:r>
          </w:p>
        </w:tc>
        <w:tc>
          <w:tcPr>
            <w:tcW w:w="0" w:type="dxa"/>
            <w:vAlign w:val="bottom"/>
          </w:tcPr>
          <w:p>
            <w:pPr>
              <w:spacing w:after="0"/>
              <w:rPr>
                <w:sz w:val="1"/>
                <w:szCs w:val="1"/>
                <w:color w:val="auto"/>
              </w:rPr>
            </w:pPr>
          </w:p>
        </w:tc>
      </w:tr>
      <w:tr>
        <w:trPr>
          <w:trHeight w:val="171"/>
        </w:trPr>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10% PIK</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(11,273 shares) (10)</w:t>
            </w: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6/28/2016</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39"/>
        </w:trPr>
        <w:tc>
          <w:tcPr>
            <w:tcW w:w="240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Warrants (warrants to purchase</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8/20/2035 (1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224 Series</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8/21/2025</w:t>
            </w: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202</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71"/>
        </w:trPr>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 preferred equity shares) (10)</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Warrants (warrants to purchase 1,946</w:t>
            </w: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8/21/2025</w:t>
            </w:r>
          </w:p>
        </w:tc>
        <w:tc>
          <w:tcPr>
            <w:tcW w:w="920" w:type="dxa"/>
            <w:vAlign w:val="bottom"/>
            <w:gridSpan w:val="2"/>
            <w:shd w:val="clear" w:color="auto" w:fill="CCEEFF"/>
          </w:tcPr>
          <w:p>
            <w:pPr>
              <w:jc w:val="center"/>
              <w:ind w:left="28"/>
              <w:spacing w:after="0" w:line="139" w:lineRule="exact"/>
              <w:rPr>
                <w:sz w:val="20"/>
                <w:szCs w:val="20"/>
                <w:color w:val="auto"/>
              </w:rPr>
            </w:pPr>
            <w:r>
              <w:rPr>
                <w:rFonts w:ascii="Times New Roman" w:cs="Times New Roman" w:eastAsia="Times New Roman" w:hAnsi="Times New Roman"/>
                <w:sz w:val="14"/>
                <w:szCs w:val="14"/>
                <w:color w:val="auto"/>
              </w:rPr>
              <w:t>8/20/2035 (1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8"/>
        </w:trPr>
        <w:tc>
          <w:tcPr>
            <w:tcW w:w="2400" w:type="dxa"/>
            <w:vAlign w:val="bottom"/>
            <w:tcBorders>
              <w:bottom w:val="single" w:sz="8" w:color="CCEEFF"/>
            </w:tcBorders>
            <w:gridSpan w:val="2"/>
            <w:shd w:val="clear" w:color="auto" w:fill="CCEEFF"/>
          </w:tcPr>
          <w:p>
            <w:pPr>
              <w:ind w:left="100"/>
              <w:spacing w:after="0" w:line="158" w:lineRule="exact"/>
              <w:rPr>
                <w:sz w:val="20"/>
                <w:szCs w:val="20"/>
                <w:color w:val="auto"/>
              </w:rPr>
            </w:pPr>
            <w:r>
              <w:rPr>
                <w:rFonts w:ascii="Times New Roman" w:cs="Times New Roman" w:eastAsia="Times New Roman" w:hAnsi="Times New Roman"/>
                <w:sz w:val="14"/>
                <w:szCs w:val="14"/>
                <w:color w:val="auto"/>
              </w:rPr>
              <w:t>shares of common equity) (10)</w:t>
            </w:r>
          </w:p>
        </w:tc>
        <w:tc>
          <w:tcPr>
            <w:tcW w:w="14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vMerge w:val="continue"/>
            <w:shd w:val="clear" w:color="auto" w:fill="CCEEFF"/>
          </w:tcPr>
          <w:p>
            <w:pPr>
              <w:spacing w:after="0"/>
              <w:rPr>
                <w:sz w:val="13"/>
                <w:szCs w:val="13"/>
                <w:color w:val="auto"/>
              </w:rPr>
            </w:pPr>
          </w:p>
        </w:tc>
        <w:tc>
          <w:tcPr>
            <w:tcW w:w="920" w:type="dxa"/>
            <w:vAlign w:val="bottom"/>
            <w:tcBorders>
              <w:bottom w:val="single" w:sz="8" w:color="CCEEFF"/>
            </w:tcBorders>
            <w:gridSpan w:val="2"/>
            <w:shd w:val="clear" w:color="auto" w:fill="CCEEFF"/>
          </w:tcPr>
          <w:p>
            <w:pPr>
              <w:jc w:val="center"/>
              <w:ind w:left="8"/>
              <w:spacing w:after="0" w:line="158"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13,88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16,8</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17.1 %</w:t>
            </w: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4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DRS Imaging Services, LLC (10)</w:t>
            </w:r>
          </w:p>
        </w:tc>
        <w:tc>
          <w:tcPr>
            <w:tcW w:w="1720" w:type="dxa"/>
            <w:vAlign w:val="bottom"/>
            <w:gridSpan w:val="2"/>
            <w:shd w:val="clear" w:color="auto" w:fill="CCEEFF"/>
          </w:tcPr>
          <w:p>
            <w:pPr>
              <w:ind w:left="120"/>
              <w:spacing w:after="0" w:line="137" w:lineRule="exact"/>
              <w:rPr>
                <w:sz w:val="20"/>
                <w:szCs w:val="20"/>
                <w:color w:val="auto"/>
              </w:rPr>
            </w:pPr>
            <w:r>
              <w:rPr>
                <w:rFonts w:ascii="Times New Roman" w:cs="Times New Roman" w:eastAsia="Times New Roman" w:hAnsi="Times New Roman"/>
                <w:sz w:val="14"/>
                <w:szCs w:val="14"/>
                <w:color w:val="auto"/>
              </w:rPr>
              <w:t>Data Processing, Hosting,</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i w:val="1"/>
                <w:iCs w:val="1"/>
                <w:color w:val="auto"/>
              </w:rPr>
              <w:t>(13) (20)</w:t>
            </w:r>
          </w:p>
        </w:tc>
        <w:tc>
          <w:tcPr>
            <w:tcW w:w="1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and Related Services</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Common Equity (1,135 units)</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3/8/2018</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1,135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3,71</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r>
        <w:trPr>
          <w:trHeight w:val="171"/>
        </w:trPr>
        <w:tc>
          <w:tcPr>
            <w:tcW w:w="24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Pfanstiehl Holdings, Inc. (8) (20)</w:t>
            </w:r>
          </w:p>
        </w:tc>
        <w:tc>
          <w:tcPr>
            <w:tcW w:w="172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4"/>
                <w:szCs w:val="14"/>
                <w:color w:val="auto"/>
              </w:rPr>
              <w:t>Pharmaceutical</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gridSpan w:val="2"/>
            <w:vMerge w:val="continue"/>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Preparation Manufacturing</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(400 Class A shares)</w:t>
            </w: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1/1/2014</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87,7</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88.7 %</w:t>
            </w:r>
          </w:p>
        </w:tc>
        <w:tc>
          <w:tcPr>
            <w:tcW w:w="0" w:type="dxa"/>
            <w:vAlign w:val="bottom"/>
          </w:tcPr>
          <w:p>
            <w:pPr>
              <w:spacing w:after="0"/>
              <w:rPr>
                <w:sz w:val="1"/>
                <w:szCs w:val="1"/>
                <w:color w:val="auto"/>
              </w:rPr>
            </w:pPr>
          </w:p>
        </w:tc>
      </w:tr>
      <w:tr>
        <w:trPr>
          <w:trHeight w:val="171"/>
        </w:trPr>
        <w:tc>
          <w:tcPr>
            <w:tcW w:w="24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SSJA Bariatric Management LLC (20)</w:t>
            </w:r>
          </w:p>
        </w:tc>
        <w:tc>
          <w:tcPr>
            <w:tcW w:w="172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Offices of Physicians and</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00" w:type="dxa"/>
            <w:vAlign w:val="bottom"/>
            <w:gridSpan w:val="2"/>
            <w:vMerge w:val="continue"/>
            <w:shd w:val="clear" w:color="auto" w:fill="CCEEFF"/>
          </w:tcPr>
          <w:p>
            <w:pPr>
              <w:spacing w:after="0"/>
              <w:rPr>
                <w:sz w:val="14"/>
                <w:szCs w:val="14"/>
                <w:color w:val="auto"/>
              </w:rPr>
            </w:pPr>
          </w:p>
        </w:tc>
        <w:tc>
          <w:tcPr>
            <w:tcW w:w="1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Mental Health Specialists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Lien Debt (Delayed Draw) (5)</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9.22%</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SOFR+5.25%</w:t>
            </w: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10/31/2025</w:t>
            </w:r>
          </w:p>
        </w:tc>
        <w:tc>
          <w:tcPr>
            <w:tcW w:w="9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10/31/2028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39"/>
        </w:trPr>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(6) (15)</w:t>
            </w:r>
          </w:p>
        </w:tc>
        <w:tc>
          <w:tcPr>
            <w:tcW w:w="1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9.22% PIK</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SOFR+5.25%</w:t>
            </w:r>
          </w:p>
        </w:tc>
        <w:tc>
          <w:tcPr>
            <w:tcW w:w="9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12/31/2020</w:t>
            </w:r>
          </w:p>
        </w:tc>
        <w:tc>
          <w:tcPr>
            <w:tcW w:w="92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10/31/2028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4,073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4,043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1,65</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171"/>
        </w:trPr>
        <w:tc>
          <w:tcPr>
            <w:tcW w:w="24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Common Equity (52,763 Class A units)</w:t>
            </w: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10/31/2025</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9,657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8"/>
        </w:trPr>
        <w:tc>
          <w:tcPr>
            <w:tcW w:w="12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(13) (15)</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4,306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13,93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1,88</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29,16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110,</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Affiliate Investments</w:t>
            </w: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4,306</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111.5 %</w:t>
            </w:r>
          </w:p>
        </w:tc>
        <w:tc>
          <w:tcPr>
            <w:tcW w:w="0" w:type="dxa"/>
            <w:vAlign w:val="bottom"/>
          </w:tcPr>
          <w:p>
            <w:pPr>
              <w:spacing w:after="0"/>
              <w:rPr>
                <w:sz w:val="1"/>
                <w:szCs w:val="1"/>
                <w:color w:val="auto"/>
              </w:rPr>
            </w:pPr>
          </w:p>
        </w:tc>
      </w:tr>
      <w:tr>
        <w:trPr>
          <w:trHeight w:val="155"/>
        </w:trPr>
        <w:tc>
          <w:tcPr>
            <w:tcW w:w="128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5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4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234,1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252,</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3"/>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68"/>
              <w:spacing w:after="0" w:line="151" w:lineRule="exact"/>
              <w:rPr>
                <w:sz w:val="20"/>
                <w:szCs w:val="20"/>
                <w:color w:val="auto"/>
              </w:rPr>
            </w:pPr>
            <w:r>
              <w:rPr>
                <w:rFonts w:ascii="Times New Roman" w:cs="Times New Roman" w:eastAsia="Times New Roman" w:hAnsi="Times New Roman"/>
                <w:sz w:val="14"/>
                <w:szCs w:val="14"/>
                <w:color w:val="auto"/>
              </w:rPr>
              <w:t>227,353</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ind w:right="68"/>
              <w:spacing w:after="0" w:line="151" w:lineRule="exact"/>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ind w:right="48"/>
              <w:spacing w:after="0" w:line="151" w:lineRule="exact"/>
              <w:rPr>
                <w:sz w:val="20"/>
                <w:szCs w:val="20"/>
                <w:color w:val="auto"/>
              </w:rPr>
            </w:pPr>
            <w:r>
              <w:rPr>
                <w:rFonts w:ascii="Times New Roman" w:cs="Times New Roman" w:eastAsia="Times New Roman" w:hAnsi="Times New Roman"/>
                <w:sz w:val="14"/>
                <w:szCs w:val="14"/>
                <w:color w:val="auto"/>
              </w:rPr>
              <w:t>147</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255.1 %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5584825</wp:posOffset>
            </wp:positionH>
            <wp:positionV relativeFrom="paragraph">
              <wp:posOffset>-4937125</wp:posOffset>
            </wp:positionV>
            <wp:extent cx="68580" cy="2146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-4937125</wp:posOffset>
            </wp:positionV>
            <wp:extent cx="68580" cy="2146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6416040</wp:posOffset>
            </wp:positionH>
            <wp:positionV relativeFrom="paragraph">
              <wp:posOffset>-4937125</wp:posOffset>
            </wp:positionV>
            <wp:extent cx="77470" cy="2146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-4620260</wp:posOffset>
            </wp:positionV>
            <wp:extent cx="68580" cy="2146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-4620260</wp:posOffset>
            </wp:positionV>
            <wp:extent cx="68580" cy="2146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6416040</wp:posOffset>
            </wp:positionH>
            <wp:positionV relativeFrom="paragraph">
              <wp:posOffset>-4620260</wp:posOffset>
            </wp:positionV>
            <wp:extent cx="77470" cy="2146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-2828290</wp:posOffset>
            </wp:positionV>
            <wp:extent cx="68580" cy="2057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6416040</wp:posOffset>
            </wp:positionH>
            <wp:positionV relativeFrom="paragraph">
              <wp:posOffset>-2828290</wp:posOffset>
            </wp:positionV>
            <wp:extent cx="77470" cy="2057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-342265</wp:posOffset>
            </wp:positionV>
            <wp:extent cx="68580"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-342265</wp:posOffset>
            </wp:positionV>
            <wp:extent cx="68580"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6416040</wp:posOffset>
            </wp:positionH>
            <wp:positionV relativeFrom="paragraph">
              <wp:posOffset>-24765</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6416040</wp:posOffset>
            </wp:positionH>
            <wp:positionV relativeFrom="paragraph">
              <wp:posOffset>-8255</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321945</wp:posOffset>
            </wp:positionV>
            <wp:extent cx="71831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504" w:right="318" w:bottom="1440" w:gutter="0" w:footer="0" w:header="0"/>
        </w:sectPr>
      </w:pPr>
    </w:p>
    <w:bookmarkStart w:id="16" w:name="page17"/>
    <w:bookmarkEnd w:id="16"/>
    <w:p>
      <w:pPr>
        <w:ind w:left="7"/>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 (unaudited)</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28"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3"/>
                <w:szCs w:val="13"/>
                <w:color w:val="auto"/>
              </w:rPr>
            </w:pPr>
          </w:p>
        </w:tc>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10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w:t>
            </w:r>
          </w:p>
        </w:tc>
        <w:tc>
          <w:tcPr>
            <w:tcW w:w="100" w:type="dxa"/>
            <w:vAlign w:val="bottom"/>
          </w:tcPr>
          <w:p>
            <w:pPr>
              <w:spacing w:after="0"/>
              <w:rPr>
                <w:sz w:val="13"/>
                <w:szCs w:val="13"/>
                <w:color w:val="auto"/>
              </w:rPr>
            </w:pPr>
          </w:p>
        </w:tc>
        <w:tc>
          <w:tcPr>
            <w:tcW w:w="5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3"/>
                <w:szCs w:val="13"/>
                <w:color w:val="auto"/>
              </w:rPr>
            </w:pP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Above Index</w:t>
            </w: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980" w:type="dxa"/>
            <w:vAlign w:val="bottom"/>
            <w:gridSpan w:val="3"/>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189"/>
              <w:spacing w:after="0" w:line="149" w:lineRule="exact"/>
              <w:rPr>
                <w:sz w:val="20"/>
                <w:szCs w:val="20"/>
                <w:color w:val="auto"/>
              </w:rPr>
            </w:pPr>
            <w:r>
              <w:rPr>
                <w:rFonts w:ascii="Times New Roman" w:cs="Times New Roman" w:eastAsia="Times New Roman" w:hAnsi="Times New Roman"/>
                <w:sz w:val="14"/>
                <w:szCs w:val="14"/>
                <w:b w:val="1"/>
                <w:bCs w:val="1"/>
                <w:color w:val="auto"/>
              </w:rPr>
              <w:t>zed</w:t>
            </w:r>
          </w:p>
        </w:tc>
        <w:tc>
          <w:tcPr>
            <w:tcW w:w="100" w:type="dxa"/>
            <w:vAlign w:val="bottom"/>
          </w:tcPr>
          <w:p>
            <w:pPr>
              <w:spacing w:after="0"/>
              <w:rPr>
                <w:sz w:val="12"/>
                <w:szCs w:val="12"/>
                <w:color w:val="auto"/>
              </w:rPr>
            </w:pPr>
          </w:p>
        </w:tc>
        <w:tc>
          <w:tcPr>
            <w:tcW w:w="5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2"/>
                <w:szCs w:val="12"/>
                <w:color w:val="auto"/>
              </w:rPr>
            </w:pPr>
          </w:p>
        </w:tc>
        <w:tc>
          <w:tcPr>
            <w:tcW w:w="1040" w:type="dxa"/>
            <w:vAlign w:val="bottom"/>
          </w:tcPr>
          <w:p>
            <w:pPr>
              <w:jc w:val="right"/>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3"/>
        </w:trPr>
        <w:tc>
          <w:tcPr>
            <w:tcW w:w="2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02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20" w:type="dxa"/>
            <w:vAlign w:val="bottom"/>
          </w:tcPr>
          <w:p>
            <w:pPr>
              <w:spacing w:after="0"/>
              <w:rPr>
                <w:sz w:val="15"/>
                <w:szCs w:val="15"/>
                <w:color w:val="auto"/>
              </w:rPr>
            </w:pPr>
          </w:p>
        </w:tc>
        <w:tc>
          <w:tcPr>
            <w:tcW w:w="10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55"/>
        </w:trPr>
        <w:tc>
          <w:tcPr>
            <w:tcW w:w="2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Equivalents (17)</w:t>
            </w: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4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First American Treasury Obligations</w:t>
            </w:r>
          </w:p>
        </w:tc>
        <w:tc>
          <w:tcPr>
            <w:tcW w:w="1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1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774</w:t>
            </w:r>
          </w:p>
        </w:tc>
        <w:tc>
          <w:tcPr>
            <w:tcW w:w="1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774</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774</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0" w:type="dxa"/>
            <w:vAlign w:val="bottom"/>
          </w:tcPr>
          <w:p>
            <w:pPr>
              <w:spacing w:after="0"/>
              <w:rPr>
                <w:sz w:val="1"/>
                <w:szCs w:val="1"/>
                <w:color w:val="auto"/>
              </w:rPr>
            </w:pPr>
          </w:p>
        </w:tc>
      </w:tr>
      <w:tr>
        <w:trPr>
          <w:trHeight w:val="17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Fund Class Z</w:t>
            </w: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00" w:type="dxa"/>
            <w:vAlign w:val="bottom"/>
            <w:gridSpan w:val="4"/>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80" w:type="dxa"/>
            <w:vAlign w:val="bottom"/>
            <w:gridSpan w:val="2"/>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4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Morgan Stanley Institutional Liquidity</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Funds - Government Portfolio Advisory</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493</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0" w:type="dxa"/>
            <w:vAlign w:val="bottom"/>
          </w:tcPr>
          <w:p>
            <w:pPr>
              <w:spacing w:after="0"/>
              <w:rPr>
                <w:sz w:val="1"/>
                <w:szCs w:val="1"/>
                <w:color w:val="auto"/>
              </w:rPr>
            </w:pPr>
          </w:p>
        </w:tc>
      </w:tr>
      <w:tr>
        <w:trPr>
          <w:trHeight w:val="17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Class</w:t>
            </w: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49"/>
              <w:spacing w:after="0" w:line="133" w:lineRule="exact"/>
              <w:rPr>
                <w:sz w:val="20"/>
                <w:szCs w:val="20"/>
                <w:color w:val="auto"/>
              </w:rPr>
            </w:pPr>
            <w:r>
              <w:rPr>
                <w:rFonts w:ascii="Times New Roman" w:cs="Times New Roman" w:eastAsia="Times New Roman" w:hAnsi="Times New Roman"/>
                <w:sz w:val="14"/>
                <w:szCs w:val="14"/>
                <w:color w:val="auto"/>
              </w:rPr>
              <w:t>1,26</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Cash Equivalents</w:t>
            </w: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1,267</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1,267</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155"/>
        </w:trPr>
        <w:tc>
          <w:tcPr>
            <w:tcW w:w="24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5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4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Investments and Cash</w:t>
            </w: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228,620</w:t>
            </w:r>
          </w:p>
        </w:tc>
        <w:tc>
          <w:tcPr>
            <w:tcW w:w="100" w:type="dxa"/>
            <w:vAlign w:val="bottom"/>
            <w:shd w:val="clear" w:color="auto" w:fill="CCEEFF"/>
          </w:tcPr>
          <w:p>
            <w:pPr>
              <w:spacing w:after="0"/>
              <w:rPr>
                <w:sz w:val="14"/>
                <w:szCs w:val="14"/>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235,4</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256.4 %</w:t>
            </w:r>
          </w:p>
        </w:tc>
        <w:tc>
          <w:tcPr>
            <w:tcW w:w="0" w:type="dxa"/>
            <w:vAlign w:val="bottom"/>
          </w:tcPr>
          <w:p>
            <w:pPr>
              <w:spacing w:after="0"/>
              <w:rPr>
                <w:sz w:val="1"/>
                <w:szCs w:val="1"/>
                <w:color w:val="auto"/>
              </w:rPr>
            </w:pPr>
          </w:p>
        </w:tc>
      </w:tr>
      <w:tr>
        <w:trPr>
          <w:trHeight w:val="175"/>
        </w:trPr>
        <w:tc>
          <w:tcPr>
            <w:tcW w:w="242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3"/>
            <w:shd w:val="clear" w:color="auto" w:fill="CCEEFF"/>
          </w:tcPr>
          <w:p>
            <w:pPr>
              <w:spacing w:after="0"/>
              <w:rPr>
                <w:sz w:val="15"/>
                <w:szCs w:val="15"/>
                <w:color w:val="auto"/>
              </w:rPr>
            </w:pPr>
          </w:p>
        </w:tc>
        <w:tc>
          <w:tcPr>
            <w:tcW w:w="8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vMerge w:val="continue"/>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49"/>
              <w:spacing w:after="0" w:line="115" w:lineRule="exact"/>
              <w:rPr>
                <w:sz w:val="20"/>
                <w:szCs w:val="20"/>
                <w:color w:val="auto"/>
              </w:rPr>
            </w:pPr>
            <w:r>
              <w:rPr>
                <w:rFonts w:ascii="Times New Roman" w:cs="Times New Roman" w:eastAsia="Times New Roman" w:hAnsi="Times New Roman"/>
                <w:sz w:val="13"/>
                <w:szCs w:val="13"/>
                <w:color w:val="auto"/>
              </w:rPr>
              <w:t>37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49"/>
              <w:spacing w:after="0" w:line="115" w:lineRule="exact"/>
              <w:rPr>
                <w:sz w:val="20"/>
                <w:szCs w:val="20"/>
                <w:color w:val="auto"/>
              </w:rPr>
            </w:pPr>
            <w:r>
              <w:rPr>
                <w:rFonts w:ascii="Times New Roman" w:cs="Times New Roman" w:eastAsia="Times New Roman" w:hAnsi="Times New Roman"/>
                <w:sz w:val="13"/>
                <w:szCs w:val="13"/>
                <w:color w:val="auto"/>
              </w:rPr>
              <w:t>414</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5589270</wp:posOffset>
            </wp:positionH>
            <wp:positionV relativeFrom="paragraph">
              <wp:posOffset>-342265</wp:posOffset>
            </wp:positionV>
            <wp:extent cx="68580" cy="1200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6035040</wp:posOffset>
            </wp:positionH>
            <wp:positionV relativeFrom="paragraph">
              <wp:posOffset>-342265</wp:posOffset>
            </wp:positionV>
            <wp:extent cx="68580" cy="1200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6420485</wp:posOffset>
            </wp:positionH>
            <wp:positionV relativeFrom="paragraph">
              <wp:posOffset>-342265</wp:posOffset>
            </wp:positionV>
            <wp:extent cx="77470" cy="1200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5589270</wp:posOffset>
            </wp:positionH>
            <wp:positionV relativeFrom="paragraph">
              <wp:posOffset>-25400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5589270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6035040</wp:posOffset>
            </wp:positionH>
            <wp:positionV relativeFrom="paragraph">
              <wp:posOffset>-25400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6035040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6420485</wp:posOffset>
            </wp:positionH>
            <wp:positionV relativeFrom="paragraph">
              <wp:posOffset>-25400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6420485</wp:posOffset>
            </wp:positionH>
            <wp:positionV relativeFrom="paragraph">
              <wp:posOffset>-7620</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9" w:lineRule="exact"/>
        <w:rPr>
          <w:sz w:val="20"/>
          <w:szCs w:val="20"/>
          <w:color w:val="auto"/>
        </w:rPr>
      </w:pPr>
    </w:p>
    <w:p>
      <w:pPr>
        <w:ind w:left="367" w:right="180" w:hanging="367"/>
        <w:spacing w:after="0" w:line="233" w:lineRule="auto"/>
        <w:tabs>
          <w:tab w:leader="none" w:pos="36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ownership may be held in shares or units of companies affiliated with the portfolio company. The Company’s investments are generally classified as “restricted securities” as such term is defined under Regulation S-X Rule 6-03(f) or Securities Act Rule 144.</w:t>
      </w:r>
    </w:p>
    <w:p>
      <w:pPr>
        <w:ind w:left="367" w:right="40" w:hanging="367"/>
        <w:spacing w:after="0"/>
        <w:tabs>
          <w:tab w:leader="none" w:pos="36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2026, the Company held loans and mezzanine debt investments with an aggregate fair value of $103,271 that bore interest at a variable rate indexed to SOFR or Prime, and reset monthly, quarterly, or semi-annually. For each variable-rate investment, the Company has provided the spread over the reference rate and current interest rate in effect as of September 30, 2026. Unless otherwise noted, all investments with a stated PIK rate require interest payments with the issuance of additional securities as payment of the entire PIK provision.</w:t>
      </w:r>
    </w:p>
    <w:p>
      <w:pPr>
        <w:spacing w:after="0" w:line="111" w:lineRule="exact"/>
        <w:rPr>
          <w:rFonts w:ascii="Times New Roman" w:cs="Times New Roman" w:eastAsia="Times New Roman" w:hAnsi="Times New Roman"/>
          <w:sz w:val="14"/>
          <w:szCs w:val="14"/>
          <w:color w:val="auto"/>
        </w:rPr>
      </w:pPr>
    </w:p>
    <w:p>
      <w:pPr>
        <w:ind w:left="367" w:right="140" w:hanging="367"/>
        <w:spacing w:after="0" w:line="221" w:lineRule="auto"/>
        <w:tabs>
          <w:tab w:leader="none" w:pos="36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Unless otherwise noted in footnote 14, fair value was determined using significant unobservable inputs for all of the Company’s investments and are considered Level 3 under GAAP. See </w:t>
      </w:r>
      <w:r>
        <w:rPr>
          <w:rFonts w:ascii="Times New Roman" w:cs="Times New Roman" w:eastAsia="Times New Roman" w:hAnsi="Times New Roman"/>
          <w:sz w:val="14"/>
          <w:szCs w:val="14"/>
          <w:b w:val="1"/>
          <w:bCs w:val="1"/>
          <w:color w:val="auto"/>
        </w:rPr>
        <w:t xml:space="preserve">Note 5 </w:t>
      </w:r>
      <w:r>
        <w:rPr>
          <w:rFonts w:ascii="Times New Roman" w:cs="Times New Roman" w:eastAsia="Times New Roman" w:hAnsi="Times New Roman"/>
          <w:sz w:val="14"/>
          <w:szCs w:val="14"/>
          <w:color w:val="auto"/>
        </w:rPr>
        <w:t>for further details.</w:t>
      </w:r>
    </w:p>
    <w:p>
      <w:pPr>
        <w:ind w:left="367" w:right="40" w:hanging="367"/>
        <w:spacing w:after="0" w:line="221" w:lineRule="auto"/>
        <w:tabs>
          <w:tab w:leader="none" w:pos="36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2026, the effective accretable yield was estimated to be 0%, as the aggregate amount of projected distributions, including projected distributions related to liquidation of the underlying portfolio upon the security’s anticipated optional redemption, was less than current amortized cost. Projected distributions are periodically monitored and re-evaluated. All actual distributions were recognized as reductions to amortized cost until such time, if and when occurring, a future aggregate amount of then-projected distributions exceeds the security’s then-current amortized cost.</w:t>
      </w:r>
    </w:p>
    <w:p>
      <w:pPr>
        <w:spacing w:after="0" w:line="1" w:lineRule="exact"/>
        <w:rPr>
          <w:rFonts w:ascii="Times New Roman" w:cs="Times New Roman" w:eastAsia="Times New Roman" w:hAnsi="Times New Roman"/>
          <w:sz w:val="14"/>
          <w:szCs w:val="14"/>
          <w:color w:val="auto"/>
        </w:rPr>
      </w:pPr>
    </w:p>
    <w:p>
      <w:pPr>
        <w:ind w:left="367" w:hanging="367"/>
        <w:spacing w:after="0" w:line="221" w:lineRule="auto"/>
        <w:tabs>
          <w:tab w:leader="none" w:pos="36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unfunded commitments. The Company considers undrawn amounts in the determination of fair value on revolving lines of credit and delayed draw term loans. See </w:t>
      </w:r>
      <w:r>
        <w:rPr>
          <w:rFonts w:ascii="Times New Roman" w:cs="Times New Roman" w:eastAsia="Times New Roman" w:hAnsi="Times New Roman"/>
          <w:sz w:val="14"/>
          <w:szCs w:val="14"/>
          <w:b w:val="1"/>
          <w:bCs w:val="1"/>
          <w:color w:val="auto"/>
        </w:rPr>
        <w:t>Note 6</w:t>
      </w:r>
      <w:r>
        <w:rPr>
          <w:rFonts w:ascii="Times New Roman" w:cs="Times New Roman" w:eastAsia="Times New Roman" w:hAnsi="Times New Roman"/>
          <w:sz w:val="14"/>
          <w:szCs w:val="14"/>
          <w:color w:val="auto"/>
        </w:rPr>
        <w:t>.</w:t>
      </w:r>
    </w:p>
    <w:p>
      <w:pPr>
        <w:ind w:left="367" w:hanging="367"/>
        <w:spacing w:after="0" w:line="221" w:lineRule="auto"/>
        <w:tabs>
          <w:tab w:leader="none" w:pos="36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Investment was on non-accrual status as of September 30, 2026. See </w:t>
      </w:r>
      <w:r>
        <w:rPr>
          <w:rFonts w:ascii="Times New Roman" w:cs="Times New Roman" w:eastAsia="Times New Roman" w:hAnsi="Times New Roman"/>
          <w:sz w:val="14"/>
          <w:szCs w:val="14"/>
          <w:b w:val="1"/>
          <w:bCs w:val="1"/>
          <w:color w:val="auto"/>
        </w:rPr>
        <w:t>Note 4</w:t>
      </w:r>
      <w:r>
        <w:rPr>
          <w:rFonts w:ascii="Times New Roman" w:cs="Times New Roman" w:eastAsia="Times New Roman" w:hAnsi="Times New Roman"/>
          <w:sz w:val="14"/>
          <w:szCs w:val="14"/>
          <w:color w:val="auto"/>
        </w:rPr>
        <w:t xml:space="preserve"> for further details.</w:t>
      </w:r>
    </w:p>
    <w:p>
      <w:pPr>
        <w:ind w:left="367" w:right="40" w:hanging="367"/>
        <w:spacing w:after="0"/>
        <w:tabs>
          <w:tab w:leader="none" w:pos="36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Amortized cost reflects accretion of effective yield less any cash distributions received or entitled to be received from CLO subordinated note investments. CLO subordinated note positions are entitled to recurring distributions, which are generally equal to the residual cash flow of payments received on underlying securities less contractual payments to debt holders and fund expenses.</w:t>
      </w:r>
    </w:p>
    <w:p>
      <w:pPr>
        <w:spacing w:after="0" w:line="123" w:lineRule="exact"/>
        <w:rPr>
          <w:rFonts w:ascii="Times New Roman" w:cs="Times New Roman" w:eastAsia="Times New Roman" w:hAnsi="Times New Roman"/>
          <w:sz w:val="14"/>
          <w:szCs w:val="14"/>
          <w:color w:val="auto"/>
        </w:rPr>
      </w:pPr>
    </w:p>
    <w:p>
      <w:pPr>
        <w:ind w:left="367" w:hanging="367"/>
        <w:spacing w:after="0" w:line="221" w:lineRule="auto"/>
        <w:tabs>
          <w:tab w:leader="none" w:pos="36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represents greater than 5% of total assets as of September 30, 2026.</w:t>
      </w:r>
    </w:p>
    <w:p>
      <w:pPr>
        <w:ind w:left="367" w:right="200" w:hanging="367"/>
        <w:spacing w:after="0" w:line="221" w:lineRule="auto"/>
        <w:tabs>
          <w:tab w:leader="none" w:pos="36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disclosed on subordinated note investments is the estimated effective yield, generally established at purchase, and reevaluated upon the receipt of the initial distribution and each subsequent quarter thereafter. The estimated effective yield is based upon projected amounts and timing of future distributions and the projected amounts and timing of terminal principal payments at the time of estimation. The estimated effective yield and investment cost may ultimately not be realized. Projected cash flows, including the amounts and timing of terminal principal payments, which generally are projected to occur prior to the contractual maturity date, were utilized in deriving the effective yield of the investments.</w:t>
      </w:r>
    </w:p>
    <w:p>
      <w:pPr>
        <w:spacing w:after="0" w:line="1" w:lineRule="exact"/>
        <w:rPr>
          <w:rFonts w:ascii="Times New Roman" w:cs="Times New Roman" w:eastAsia="Times New Roman" w:hAnsi="Times New Roman"/>
          <w:sz w:val="14"/>
          <w:szCs w:val="14"/>
          <w:color w:val="auto"/>
        </w:rPr>
      </w:pPr>
    </w:p>
    <w:p>
      <w:pPr>
        <w:ind w:left="367" w:hanging="367"/>
        <w:spacing w:after="0" w:line="221" w:lineRule="auto"/>
        <w:tabs>
          <w:tab w:leader="none" w:pos="36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Non-income producing. The Company has not recognized income on the security during the prior twelve-month period preceding the period-end date.</w:t>
      </w:r>
    </w:p>
    <w:p>
      <w:pPr>
        <w:ind w:left="367" w:right="60" w:hanging="367"/>
        <w:spacing w:after="0" w:line="233" w:lineRule="auto"/>
        <w:tabs>
          <w:tab w:leader="none" w:pos="36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on these investments contains a PIK provision, whereby the issuer has the option to make interest payments in cash or with the issuance of additional securities as payment of the entire PIK provision. The interest rate in the schedule represents the current interest rate in effect for these investments. The following table provides additional details on these PIK investments, including the maximum annual PIK interest rate allowed as of September 30, 2026:</w:t>
      </w:r>
    </w:p>
    <w:p>
      <w:pPr>
        <w:spacing w:after="0" w:line="108"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tcPr>
          <w:p>
            <w:pPr>
              <w:spacing w:after="0"/>
              <w:rPr>
                <w:sz w:val="13"/>
                <w:szCs w:val="13"/>
                <w:color w:val="auto"/>
              </w:rPr>
            </w:pPr>
          </w:p>
        </w:tc>
        <w:tc>
          <w:tcPr>
            <w:tcW w:w="17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PIK</w:t>
            </w:r>
          </w:p>
        </w:tc>
        <w:tc>
          <w:tcPr>
            <w:tcW w:w="12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PIK</w:t>
            </w:r>
          </w:p>
        </w:tc>
        <w:tc>
          <w:tcPr>
            <w:tcW w:w="12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Cash</w:t>
            </w:r>
          </w:p>
        </w:tc>
        <w:tc>
          <w:tcPr>
            <w:tcW w:w="0" w:type="dxa"/>
            <w:vAlign w:val="bottom"/>
          </w:tcPr>
          <w:p>
            <w:pPr>
              <w:spacing w:after="0"/>
              <w:rPr>
                <w:sz w:val="1"/>
                <w:szCs w:val="1"/>
                <w:color w:val="auto"/>
              </w:rPr>
            </w:pPr>
          </w:p>
        </w:tc>
      </w:tr>
      <w:tr>
        <w:trPr>
          <w:trHeight w:val="173"/>
        </w:trPr>
        <w:tc>
          <w:tcPr>
            <w:tcW w:w="43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 Allowed</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55"/>
        </w:trPr>
        <w:tc>
          <w:tcPr>
            <w:tcW w:w="43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Avison Young Inc.</w:t>
            </w:r>
          </w:p>
        </w:tc>
        <w:tc>
          <w:tcPr>
            <w:tcW w:w="12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color w:val="auto"/>
              </w:rPr>
              <w:t>12.51%</w:t>
            </w:r>
          </w:p>
        </w:tc>
        <w:tc>
          <w:tcPr>
            <w:tcW w:w="120" w:type="dxa"/>
            <w:vAlign w:val="bottom"/>
            <w:shd w:val="clear" w:color="auto" w:fill="CFF0FC"/>
          </w:tcPr>
          <w:p>
            <w:pPr>
              <w:spacing w:after="0"/>
              <w:rPr>
                <w:sz w:val="13"/>
                <w:szCs w:val="13"/>
                <w:color w:val="auto"/>
              </w:rPr>
            </w:pPr>
          </w:p>
        </w:tc>
        <w:tc>
          <w:tcPr>
            <w:tcW w:w="1760" w:type="dxa"/>
            <w:vAlign w:val="bottom"/>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color w:val="auto"/>
              </w:rPr>
              <w:t>0% to 12.51%</w:t>
            </w:r>
          </w:p>
        </w:tc>
        <w:tc>
          <w:tcPr>
            <w:tcW w:w="120" w:type="dxa"/>
            <w:vAlign w:val="bottom"/>
            <w:shd w:val="clear" w:color="auto" w:fill="CFF0FC"/>
          </w:tcPr>
          <w:p>
            <w:pPr>
              <w:spacing w:after="0"/>
              <w:rPr>
                <w:sz w:val="13"/>
                <w:szCs w:val="13"/>
                <w:color w:val="auto"/>
              </w:rPr>
            </w:pPr>
          </w:p>
        </w:tc>
        <w:tc>
          <w:tcPr>
            <w:tcW w:w="1780" w:type="dxa"/>
            <w:vAlign w:val="bottom"/>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color w:val="auto"/>
              </w:rPr>
              <w:t>0% to 12.51%</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Avison Young Inc.</w:t>
            </w: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First Lien Debt</w:t>
            </w:r>
          </w:p>
        </w:tc>
        <w:tc>
          <w:tcPr>
            <w:tcW w:w="12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12.51%</w:t>
            </w:r>
          </w:p>
        </w:tc>
        <w:tc>
          <w:tcPr>
            <w:tcW w:w="1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 to 12.51%</w:t>
            </w:r>
          </w:p>
        </w:tc>
        <w:tc>
          <w:tcPr>
            <w:tcW w:w="1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 to 12.51%</w:t>
            </w:r>
          </w:p>
        </w:tc>
        <w:tc>
          <w:tcPr>
            <w:tcW w:w="0" w:type="dxa"/>
            <w:vAlign w:val="bottom"/>
          </w:tcPr>
          <w:p>
            <w:pPr>
              <w:spacing w:after="0"/>
              <w:rPr>
                <w:sz w:val="1"/>
                <w:szCs w:val="1"/>
                <w:color w:val="auto"/>
              </w:rPr>
            </w:pPr>
          </w:p>
        </w:tc>
      </w:tr>
      <w:tr>
        <w:trPr>
          <w:trHeight w:val="162"/>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Avison Young Inc.</w:t>
            </w:r>
          </w:p>
        </w:tc>
        <w:tc>
          <w:tcPr>
            <w:tcW w:w="18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First Lien Debt</w:t>
            </w:r>
          </w:p>
        </w:tc>
        <w:tc>
          <w:tcPr>
            <w:tcW w:w="1260" w:type="dxa"/>
            <w:vAlign w:val="bottom"/>
            <w:gridSpan w:val="2"/>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11.36%</w:t>
            </w:r>
          </w:p>
        </w:tc>
        <w:tc>
          <w:tcPr>
            <w:tcW w:w="120" w:type="dxa"/>
            <w:vAlign w:val="bottom"/>
            <w:shd w:val="clear" w:color="auto" w:fill="CFF0FC"/>
          </w:tcPr>
          <w:p>
            <w:pPr>
              <w:spacing w:after="0"/>
              <w:rPr>
                <w:sz w:val="14"/>
                <w:szCs w:val="14"/>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0% to 11.36%</w:t>
            </w:r>
          </w:p>
        </w:tc>
        <w:tc>
          <w:tcPr>
            <w:tcW w:w="120" w:type="dxa"/>
            <w:vAlign w:val="bottom"/>
            <w:shd w:val="clear" w:color="auto" w:fill="CFF0FC"/>
          </w:tcPr>
          <w:p>
            <w:pPr>
              <w:spacing w:after="0"/>
              <w:rPr>
                <w:sz w:val="14"/>
                <w:szCs w:val="14"/>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0% to 11.36%</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Avison Young Inc.</w:t>
            </w: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First Lien Debt</w:t>
            </w:r>
          </w:p>
        </w:tc>
        <w:tc>
          <w:tcPr>
            <w:tcW w:w="12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5.96%</w:t>
            </w:r>
          </w:p>
        </w:tc>
        <w:tc>
          <w:tcPr>
            <w:tcW w:w="1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 to 5.96%</w:t>
            </w:r>
          </w:p>
        </w:tc>
        <w:tc>
          <w:tcPr>
            <w:tcW w:w="1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5.40% to 11.36%</w:t>
            </w:r>
          </w:p>
        </w:tc>
        <w:tc>
          <w:tcPr>
            <w:tcW w:w="0" w:type="dxa"/>
            <w:vAlign w:val="bottom"/>
          </w:tcPr>
          <w:p>
            <w:pPr>
              <w:spacing w:after="0"/>
              <w:rPr>
                <w:sz w:val="1"/>
                <w:szCs w:val="1"/>
                <w:color w:val="auto"/>
              </w:rPr>
            </w:pPr>
          </w:p>
        </w:tc>
      </w:tr>
      <w:tr>
        <w:trPr>
          <w:trHeight w:val="162"/>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Avison Young Inc.</w:t>
            </w:r>
          </w:p>
        </w:tc>
        <w:tc>
          <w:tcPr>
            <w:tcW w:w="18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First Lien Debt</w:t>
            </w:r>
          </w:p>
        </w:tc>
        <w:tc>
          <w:tcPr>
            <w:tcW w:w="1260" w:type="dxa"/>
            <w:vAlign w:val="bottom"/>
            <w:gridSpan w:val="2"/>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11.62%</w:t>
            </w:r>
          </w:p>
        </w:tc>
        <w:tc>
          <w:tcPr>
            <w:tcW w:w="120" w:type="dxa"/>
            <w:vAlign w:val="bottom"/>
            <w:shd w:val="clear" w:color="auto" w:fill="CFF0FC"/>
          </w:tcPr>
          <w:p>
            <w:pPr>
              <w:spacing w:after="0"/>
              <w:rPr>
                <w:sz w:val="14"/>
                <w:szCs w:val="14"/>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0% to 11.62%</w:t>
            </w:r>
          </w:p>
        </w:tc>
        <w:tc>
          <w:tcPr>
            <w:tcW w:w="120" w:type="dxa"/>
            <w:vAlign w:val="bottom"/>
            <w:shd w:val="clear" w:color="auto" w:fill="CFF0FC"/>
          </w:tcPr>
          <w:p>
            <w:pPr>
              <w:spacing w:after="0"/>
              <w:rPr>
                <w:sz w:val="14"/>
                <w:szCs w:val="14"/>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0% to 11.62%</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Avison Young Inc.</w:t>
            </w: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First Lien Debt</w:t>
            </w:r>
          </w:p>
        </w:tc>
        <w:tc>
          <w:tcPr>
            <w:tcW w:w="12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12.51%</w:t>
            </w:r>
          </w:p>
        </w:tc>
        <w:tc>
          <w:tcPr>
            <w:tcW w:w="1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 to 12.51%</w:t>
            </w:r>
          </w:p>
        </w:tc>
        <w:tc>
          <w:tcPr>
            <w:tcW w:w="1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 to 12.51%</w:t>
            </w:r>
          </w:p>
        </w:tc>
        <w:tc>
          <w:tcPr>
            <w:tcW w:w="0" w:type="dxa"/>
            <w:vAlign w:val="bottom"/>
          </w:tcPr>
          <w:p>
            <w:pPr>
              <w:spacing w:after="0"/>
              <w:rPr>
                <w:sz w:val="1"/>
                <w:szCs w:val="1"/>
                <w:color w:val="auto"/>
              </w:rPr>
            </w:pPr>
          </w:p>
        </w:tc>
      </w:tr>
      <w:tr>
        <w:trPr>
          <w:trHeight w:val="162"/>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Inergex Holdings, LLC</w:t>
            </w:r>
          </w:p>
        </w:tc>
        <w:tc>
          <w:tcPr>
            <w:tcW w:w="18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First Lien Debt</w:t>
            </w:r>
          </w:p>
        </w:tc>
        <w:tc>
          <w:tcPr>
            <w:tcW w:w="12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shd w:val="clear" w:color="auto" w:fill="CFF0FC"/>
          </w:tcPr>
          <w:p>
            <w:pPr>
              <w:spacing w:after="0"/>
              <w:rPr>
                <w:sz w:val="14"/>
                <w:szCs w:val="14"/>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0% to 2.00%</w:t>
            </w:r>
          </w:p>
        </w:tc>
        <w:tc>
          <w:tcPr>
            <w:tcW w:w="120" w:type="dxa"/>
            <w:vAlign w:val="bottom"/>
            <w:shd w:val="clear" w:color="auto" w:fill="CFF0FC"/>
          </w:tcPr>
          <w:p>
            <w:pPr>
              <w:spacing w:after="0"/>
              <w:rPr>
                <w:sz w:val="14"/>
                <w:szCs w:val="14"/>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11.22% to 13.22%</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Inergex Holdings, LLC</w:t>
            </w: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First Lien Debt (Revolver)</w:t>
            </w:r>
          </w:p>
        </w:tc>
        <w:tc>
          <w:tcPr>
            <w:tcW w:w="12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 to 2.00%</w:t>
            </w:r>
          </w:p>
        </w:tc>
        <w:tc>
          <w:tcPr>
            <w:tcW w:w="1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11.22% to 13.22%</w:t>
            </w:r>
          </w:p>
        </w:tc>
        <w:tc>
          <w:tcPr>
            <w:tcW w:w="0" w:type="dxa"/>
            <w:vAlign w:val="bottom"/>
          </w:tcPr>
          <w:p>
            <w:pPr>
              <w:spacing w:after="0"/>
              <w:rPr>
                <w:sz w:val="1"/>
                <w:szCs w:val="1"/>
                <w:color w:val="auto"/>
              </w:rPr>
            </w:pPr>
          </w:p>
        </w:tc>
      </w:tr>
      <w:tr>
        <w:trPr>
          <w:trHeight w:val="162"/>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JP Intermediate B, LLC</w:t>
            </w:r>
          </w:p>
        </w:tc>
        <w:tc>
          <w:tcPr>
            <w:tcW w:w="18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First Lien Debt</w:t>
            </w:r>
          </w:p>
        </w:tc>
        <w:tc>
          <w:tcPr>
            <w:tcW w:w="12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shd w:val="clear" w:color="auto" w:fill="CFF0FC"/>
          </w:tcPr>
          <w:p>
            <w:pPr>
              <w:spacing w:after="0"/>
              <w:rPr>
                <w:sz w:val="14"/>
                <w:szCs w:val="14"/>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0% to 4.00%</w:t>
            </w:r>
          </w:p>
        </w:tc>
        <w:tc>
          <w:tcPr>
            <w:tcW w:w="120" w:type="dxa"/>
            <w:vAlign w:val="bottom"/>
            <w:shd w:val="clear" w:color="auto" w:fill="CFF0FC"/>
          </w:tcPr>
          <w:p>
            <w:pPr>
              <w:spacing w:after="0"/>
              <w:rPr>
                <w:sz w:val="14"/>
                <w:szCs w:val="14"/>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7.07% to 11.07%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321945</wp:posOffset>
            </wp:positionV>
            <wp:extent cx="71831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504" w:right="318" w:bottom="1440" w:gutter="0" w:footer="0" w:header="0"/>
        </w:sectPr>
      </w:pPr>
    </w:p>
    <w:bookmarkStart w:id="17" w:name="page18"/>
    <w:bookmarkEnd w:id="17"/>
    <w:p>
      <w:pPr>
        <w:ind w:left="7"/>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 (unaudited)</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28"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tcPr>
          <w:p>
            <w:pPr>
              <w:spacing w:after="0"/>
              <w:rPr>
                <w:sz w:val="13"/>
                <w:szCs w:val="13"/>
                <w:color w:val="auto"/>
              </w:rPr>
            </w:pPr>
          </w:p>
        </w:tc>
        <w:tc>
          <w:tcPr>
            <w:tcW w:w="17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PIK</w:t>
            </w:r>
          </w:p>
        </w:tc>
        <w:tc>
          <w:tcPr>
            <w:tcW w:w="12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PIK</w:t>
            </w:r>
          </w:p>
        </w:tc>
        <w:tc>
          <w:tcPr>
            <w:tcW w:w="12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Cash</w:t>
            </w:r>
          </w:p>
        </w:tc>
        <w:tc>
          <w:tcPr>
            <w:tcW w:w="0" w:type="dxa"/>
            <w:vAlign w:val="bottom"/>
          </w:tcPr>
          <w:p>
            <w:pPr>
              <w:spacing w:after="0"/>
              <w:rPr>
                <w:sz w:val="1"/>
                <w:szCs w:val="1"/>
                <w:color w:val="auto"/>
              </w:rPr>
            </w:pPr>
          </w:p>
        </w:tc>
      </w:tr>
      <w:tr>
        <w:trPr>
          <w:trHeight w:val="173"/>
        </w:trPr>
        <w:tc>
          <w:tcPr>
            <w:tcW w:w="43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 Allowed</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55"/>
        </w:trPr>
        <w:tc>
          <w:tcPr>
            <w:tcW w:w="43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Metasource, LLC</w:t>
            </w:r>
          </w:p>
        </w:tc>
        <w:tc>
          <w:tcPr>
            <w:tcW w:w="120" w:type="dxa"/>
            <w:vAlign w:val="bottom"/>
          </w:tcPr>
          <w:p>
            <w:pPr>
              <w:spacing w:after="0"/>
              <w:rPr>
                <w:sz w:val="13"/>
                <w:szCs w:val="13"/>
                <w:color w:val="auto"/>
              </w:rPr>
            </w:pPr>
          </w:p>
        </w:tc>
        <w:tc>
          <w:tcPr>
            <w:tcW w:w="17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tcPr>
          <w:p>
            <w:pPr>
              <w:spacing w:after="0"/>
              <w:rPr>
                <w:sz w:val="13"/>
                <w:szCs w:val="13"/>
                <w:color w:val="auto"/>
              </w:rPr>
            </w:pPr>
          </w:p>
        </w:tc>
        <w:tc>
          <w:tcPr>
            <w:tcW w:w="11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0.50%</w:t>
            </w:r>
          </w:p>
        </w:tc>
        <w:tc>
          <w:tcPr>
            <w:tcW w:w="120" w:type="dxa"/>
            <w:vAlign w:val="bottom"/>
          </w:tcPr>
          <w:p>
            <w:pPr>
              <w:spacing w:after="0"/>
              <w:rPr>
                <w:sz w:val="13"/>
                <w:szCs w:val="13"/>
                <w:color w:val="auto"/>
              </w:rPr>
            </w:pPr>
          </w:p>
        </w:tc>
        <w:tc>
          <w:tcPr>
            <w:tcW w:w="17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0% to 0.50%</w:t>
            </w:r>
          </w:p>
        </w:tc>
        <w:tc>
          <w:tcPr>
            <w:tcW w:w="120" w:type="dxa"/>
            <w:vAlign w:val="bottom"/>
          </w:tcPr>
          <w:p>
            <w:pPr>
              <w:spacing w:after="0"/>
              <w:rPr>
                <w:sz w:val="13"/>
                <w:szCs w:val="13"/>
                <w:color w:val="auto"/>
              </w:rPr>
            </w:pPr>
          </w:p>
        </w:tc>
        <w:tc>
          <w:tcPr>
            <w:tcW w:w="17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10.59% to 11.09%</w:t>
            </w:r>
          </w:p>
        </w:tc>
        <w:tc>
          <w:tcPr>
            <w:tcW w:w="0" w:type="dxa"/>
            <w:vAlign w:val="bottom"/>
          </w:tcPr>
          <w:p>
            <w:pPr>
              <w:spacing w:after="0"/>
              <w:rPr>
                <w:sz w:val="1"/>
                <w:szCs w:val="1"/>
                <w:color w:val="auto"/>
              </w:rPr>
            </w:pPr>
          </w:p>
        </w:tc>
      </w:tr>
      <w:tr>
        <w:trPr>
          <w:trHeight w:val="162"/>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One GI LLC</w:t>
            </w:r>
          </w:p>
        </w:tc>
        <w:tc>
          <w:tcPr>
            <w:tcW w:w="18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First Lien Debt</w:t>
            </w:r>
          </w:p>
        </w:tc>
        <w:tc>
          <w:tcPr>
            <w:tcW w:w="1260" w:type="dxa"/>
            <w:vAlign w:val="bottom"/>
            <w:gridSpan w:val="2"/>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10.75%</w:t>
            </w:r>
          </w:p>
        </w:tc>
        <w:tc>
          <w:tcPr>
            <w:tcW w:w="120" w:type="dxa"/>
            <w:vAlign w:val="bottom"/>
            <w:shd w:val="clear" w:color="auto" w:fill="CFF0FC"/>
          </w:tcPr>
          <w:p>
            <w:pPr>
              <w:spacing w:after="0"/>
              <w:rPr>
                <w:sz w:val="14"/>
                <w:szCs w:val="14"/>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0% to 10.75%</w:t>
            </w:r>
          </w:p>
        </w:tc>
        <w:tc>
          <w:tcPr>
            <w:tcW w:w="120" w:type="dxa"/>
            <w:vAlign w:val="bottom"/>
            <w:shd w:val="clear" w:color="auto" w:fill="CFF0FC"/>
          </w:tcPr>
          <w:p>
            <w:pPr>
              <w:spacing w:after="0"/>
              <w:rPr>
                <w:sz w:val="14"/>
                <w:szCs w:val="14"/>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0% to 10.75%</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One GI LLC</w:t>
            </w: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First Lien Debt</w:t>
            </w:r>
          </w:p>
        </w:tc>
        <w:tc>
          <w:tcPr>
            <w:tcW w:w="12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10.75%</w:t>
            </w:r>
          </w:p>
        </w:tc>
        <w:tc>
          <w:tcPr>
            <w:tcW w:w="1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 to 10.75%</w:t>
            </w:r>
          </w:p>
        </w:tc>
        <w:tc>
          <w:tcPr>
            <w:tcW w:w="1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 to 10.75%</w:t>
            </w:r>
          </w:p>
        </w:tc>
        <w:tc>
          <w:tcPr>
            <w:tcW w:w="0" w:type="dxa"/>
            <w:vAlign w:val="bottom"/>
          </w:tcPr>
          <w:p>
            <w:pPr>
              <w:spacing w:after="0"/>
              <w:rPr>
                <w:sz w:val="1"/>
                <w:szCs w:val="1"/>
                <w:color w:val="auto"/>
              </w:rPr>
            </w:pPr>
          </w:p>
        </w:tc>
      </w:tr>
      <w:tr>
        <w:trPr>
          <w:trHeight w:val="162"/>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One GI LLC</w:t>
            </w:r>
          </w:p>
        </w:tc>
        <w:tc>
          <w:tcPr>
            <w:tcW w:w="18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First Lien Debt (Revolver)</w:t>
            </w:r>
          </w:p>
        </w:tc>
        <w:tc>
          <w:tcPr>
            <w:tcW w:w="1260" w:type="dxa"/>
            <w:vAlign w:val="bottom"/>
            <w:gridSpan w:val="2"/>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10.75%</w:t>
            </w:r>
          </w:p>
        </w:tc>
        <w:tc>
          <w:tcPr>
            <w:tcW w:w="120" w:type="dxa"/>
            <w:vAlign w:val="bottom"/>
            <w:shd w:val="clear" w:color="auto" w:fill="CFF0FC"/>
          </w:tcPr>
          <w:p>
            <w:pPr>
              <w:spacing w:after="0"/>
              <w:rPr>
                <w:sz w:val="14"/>
                <w:szCs w:val="14"/>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0% to 10.75%</w:t>
            </w:r>
          </w:p>
        </w:tc>
        <w:tc>
          <w:tcPr>
            <w:tcW w:w="120" w:type="dxa"/>
            <w:vAlign w:val="bottom"/>
            <w:shd w:val="clear" w:color="auto" w:fill="CFF0FC"/>
          </w:tcPr>
          <w:p>
            <w:pPr>
              <w:spacing w:after="0"/>
              <w:rPr>
                <w:sz w:val="14"/>
                <w:szCs w:val="14"/>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0% to 10.75%</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7" w:hanging="367"/>
        <w:spacing w:after="0"/>
        <w:tabs>
          <w:tab w:leader="none" w:pos="36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expiration date of the warrants.</w:t>
      </w:r>
    </w:p>
    <w:p>
      <w:pPr>
        <w:spacing w:after="0" w:line="3" w:lineRule="exact"/>
        <w:rPr>
          <w:rFonts w:ascii="Times New Roman" w:cs="Times New Roman" w:eastAsia="Times New Roman" w:hAnsi="Times New Roman"/>
          <w:sz w:val="14"/>
          <w:szCs w:val="14"/>
          <w:color w:val="auto"/>
        </w:rPr>
      </w:pPr>
    </w:p>
    <w:p>
      <w:pPr>
        <w:ind w:left="367" w:hanging="367"/>
        <w:spacing w:after="0" w:line="221" w:lineRule="auto"/>
        <w:tabs>
          <w:tab w:leader="none" w:pos="36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a portion of investment held by a wholly owned subsidiary subject to income tax.</w:t>
      </w:r>
    </w:p>
    <w:p>
      <w:pPr>
        <w:ind w:left="367" w:hanging="367"/>
        <w:spacing w:after="0" w:line="221" w:lineRule="auto"/>
        <w:tabs>
          <w:tab w:leader="none" w:pos="36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Fair value was determined by reference to observable inputs other than quoted prices in active markets and are considered Level 2 under GAAP. See </w:t>
      </w:r>
      <w:r>
        <w:rPr>
          <w:rFonts w:ascii="Times New Roman" w:cs="Times New Roman" w:eastAsia="Times New Roman" w:hAnsi="Times New Roman"/>
          <w:sz w:val="14"/>
          <w:szCs w:val="14"/>
          <w:b w:val="1"/>
          <w:bCs w:val="1"/>
          <w:color w:val="auto"/>
        </w:rPr>
        <w:t>Note 5</w:t>
      </w:r>
      <w:r>
        <w:rPr>
          <w:rFonts w:ascii="Times New Roman" w:cs="Times New Roman" w:eastAsia="Times New Roman" w:hAnsi="Times New Roman"/>
          <w:sz w:val="14"/>
          <w:szCs w:val="14"/>
          <w:color w:val="auto"/>
        </w:rPr>
        <w:t xml:space="preserve"> for further details.</w:t>
      </w:r>
    </w:p>
    <w:p>
      <w:pPr>
        <w:ind w:left="367" w:hanging="367"/>
        <w:spacing w:after="0" w:line="221" w:lineRule="auto"/>
        <w:tabs>
          <w:tab w:leader="none" w:pos="36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(or a portion thereof) held by OFSCC-FS. These assets are pledged as collateral of the Natixis Facility and cannot be pledged under any debt obligation of the Parent.</w:t>
      </w:r>
    </w:p>
    <w:p>
      <w:pPr>
        <w:ind w:left="367" w:right="300" w:hanging="367"/>
        <w:spacing w:after="0" w:line="221" w:lineRule="auto"/>
        <w:tabs>
          <w:tab w:leader="none" w:pos="36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Non-qualifying assets under Section 55(a) of the 1940 Act. Qualifying assets as defined in Section 55 of the 1940 Act must represent at least 70% of the Company’s assets immediately following the acquisition of any additional non-qualifying assets. As of September 30, 2026, approximately 89% of the Company's assets were qualifying assets.</w:t>
      </w:r>
    </w:p>
    <w:p>
      <w:pPr>
        <w:ind w:left="367" w:hanging="367"/>
        <w:spacing w:after="0" w:line="221" w:lineRule="auto"/>
        <w:tabs>
          <w:tab w:leader="none" w:pos="36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equivalents held in a money market fund as of September 30, 2026. The Company also had cash deposits of $1,865 as of September 30, 2026.</w:t>
      </w:r>
    </w:p>
    <w:p>
      <w:pPr>
        <w:ind w:left="367" w:right="160" w:hanging="367"/>
        <w:spacing w:after="0" w:line="221" w:lineRule="auto"/>
        <w:tabs>
          <w:tab w:leader="none" w:pos="36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 as there is no outstanding balance on the revolver or delayed draw facility. The Company generally earns unfunded commitment fees on undrawn revolving lines of credit balances, which are reported in fee income.</w:t>
      </w:r>
    </w:p>
    <w:p>
      <w:pPr>
        <w:ind w:left="367" w:hanging="367"/>
        <w:spacing w:after="0" w:line="221" w:lineRule="auto"/>
        <w:tabs>
          <w:tab w:leader="none" w:pos="36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holds at least one seat on the portfolio company’s board of directors.</w:t>
      </w:r>
    </w:p>
    <w:p>
      <w:pPr>
        <w:ind w:left="367" w:hanging="367"/>
        <w:spacing w:after="0" w:line="221" w:lineRule="auto"/>
        <w:tabs>
          <w:tab w:leader="none" w:pos="36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an observer seat on the portfolio company’s board of directors.</w:t>
      </w:r>
    </w:p>
    <w:p>
      <w:pPr>
        <w:ind w:left="367" w:hanging="367"/>
        <w:spacing w:after="0"/>
        <w:tabs>
          <w:tab w:leader="none" w:pos="36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matured on October 1, 2026 and was not repaid at maturity. The lending group and the portfolio company are working to amend the existing terms.</w:t>
      </w:r>
    </w:p>
    <w:p>
      <w:pPr>
        <w:spacing w:after="0" w:line="88" w:lineRule="exact"/>
        <w:rPr>
          <w:rFonts w:ascii="Times New Roman" w:cs="Times New Roman" w:eastAsia="Times New Roman" w:hAnsi="Times New Roman"/>
          <w:sz w:val="14"/>
          <w:szCs w:val="14"/>
          <w:color w:val="auto"/>
        </w:rPr>
      </w:pPr>
    </w:p>
    <w:p>
      <w:pPr>
        <w:ind w:left="367"/>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See Notes to Consolidated Financial Statements (unaudited).</w:t>
      </w:r>
    </w:p>
    <w:p>
      <w:pPr>
        <w:spacing w:after="0" w:line="23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313055</wp:posOffset>
            </wp:positionV>
            <wp:extent cx="71831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504" w:right="318"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Principa</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Spread Above</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w:t>
            </w:r>
          </w:p>
        </w:tc>
        <w:tc>
          <w:tcPr>
            <w:tcW w:w="1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2"/>
                <w:szCs w:val="12"/>
                <w:color w:val="auto"/>
              </w:rPr>
            </w:pPr>
          </w:p>
        </w:tc>
        <w:tc>
          <w:tcPr>
            <w:tcW w:w="6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 Net</w:t>
            </w:r>
          </w:p>
        </w:tc>
        <w:tc>
          <w:tcPr>
            <w:tcW w:w="0" w:type="dxa"/>
            <w:vAlign w:val="bottom"/>
          </w:tcPr>
          <w:p>
            <w:pPr>
              <w:spacing w:after="0"/>
              <w:rPr>
                <w:sz w:val="1"/>
                <w:szCs w:val="1"/>
                <w:color w:val="auto"/>
              </w:rPr>
            </w:pPr>
          </w:p>
        </w:tc>
      </w:tr>
      <w:tr>
        <w:trPr>
          <w:trHeight w:val="173"/>
        </w:trPr>
        <w:tc>
          <w:tcPr>
            <w:tcW w:w="2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00" w:type="dxa"/>
            <w:vAlign w:val="bottom"/>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Index (2)</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80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Value (3)</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 Investments</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7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540" w:type="dxa"/>
            <w:vAlign w:val="bottom"/>
            <w:gridSpan w:val="2"/>
            <w:shd w:val="clear" w:color="auto" w:fill="CAEEFB"/>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12 Interactive, LLC (D/B/A PerkSpot) (21)</w:t>
            </w:r>
          </w:p>
        </w:tc>
        <w:tc>
          <w:tcPr>
            <w:tcW w:w="100" w:type="dxa"/>
            <w:vAlign w:val="bottom"/>
            <w:shd w:val="clear" w:color="auto" w:fill="CAEEFB"/>
          </w:tcPr>
          <w:p>
            <w:pPr>
              <w:spacing w:after="0"/>
              <w:rPr>
                <w:sz w:val="13"/>
                <w:szCs w:val="13"/>
                <w:color w:val="auto"/>
              </w:rPr>
            </w:pPr>
          </w:p>
        </w:tc>
        <w:tc>
          <w:tcPr>
            <w:tcW w:w="1760" w:type="dxa"/>
            <w:vAlign w:val="bottom"/>
            <w:shd w:val="clear" w:color="auto" w:fill="CAEEFB"/>
          </w:tcPr>
          <w:p>
            <w:pPr>
              <w:spacing w:after="0" w:line="155" w:lineRule="exact"/>
              <w:rPr>
                <w:sz w:val="20"/>
                <w:szCs w:val="20"/>
                <w:color w:val="auto"/>
              </w:rPr>
            </w:pPr>
            <w:r>
              <w:rPr>
                <w:rFonts w:ascii="Times New Roman" w:cs="Times New Roman" w:eastAsia="Times New Roman" w:hAnsi="Times New Roman"/>
                <w:sz w:val="14"/>
                <w:szCs w:val="14"/>
                <w:color w:val="auto"/>
              </w:rPr>
              <w:t>Software Publishers</w:t>
            </w:r>
          </w:p>
        </w:tc>
        <w:tc>
          <w:tcPr>
            <w:tcW w:w="120" w:type="dxa"/>
            <w:vAlign w:val="bottom"/>
            <w:shd w:val="clear" w:color="auto" w:fill="CAEEFB"/>
          </w:tcPr>
          <w:p>
            <w:pPr>
              <w:spacing w:after="0"/>
              <w:rPr>
                <w:sz w:val="13"/>
                <w:szCs w:val="13"/>
                <w:color w:val="auto"/>
              </w:rPr>
            </w:pPr>
          </w:p>
        </w:tc>
        <w:tc>
          <w:tcPr>
            <w:tcW w:w="72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88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4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14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760" w:type="dxa"/>
            <w:vAlign w:val="bottom"/>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9.42%</w:t>
            </w:r>
          </w:p>
        </w:tc>
        <w:tc>
          <w:tcPr>
            <w:tcW w:w="120" w:type="dxa"/>
            <w:vAlign w:val="bottom"/>
          </w:tcPr>
          <w:p>
            <w:pPr>
              <w:spacing w:after="0"/>
              <w:rPr>
                <w:sz w:val="12"/>
                <w:szCs w:val="12"/>
                <w:color w:val="auto"/>
              </w:rPr>
            </w:pPr>
          </w:p>
        </w:tc>
        <w:tc>
          <w:tcPr>
            <w:tcW w:w="88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9/5/2025</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9/5/2030</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  1,453</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1,441</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1,453</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71"/>
        </w:trPr>
        <w:tc>
          <w:tcPr>
            <w:tcW w:w="2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+5.75%</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gridSpan w:val="2"/>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9.42%</w:t>
            </w: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9/5/2025</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3/5/2027</w:t>
            </w:r>
          </w:p>
        </w:tc>
        <w:tc>
          <w:tcPr>
            <w:tcW w:w="8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1,120</w:t>
            </w: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1,110</w:t>
            </w: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1,120</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0" w:type="dxa"/>
            <w:vAlign w:val="bottom"/>
          </w:tcPr>
          <w:p>
            <w:pPr>
              <w:spacing w:after="0"/>
              <w:rPr>
                <w:sz w:val="1"/>
                <w:szCs w:val="1"/>
                <w:color w:val="auto"/>
              </w:rPr>
            </w:pPr>
          </w:p>
        </w:tc>
      </w:tr>
      <w:tr>
        <w:trPr>
          <w:trHeight w:val="171"/>
        </w:trPr>
        <w:tc>
          <w:tcPr>
            <w:tcW w:w="2540" w:type="dxa"/>
            <w:vAlign w:val="bottom"/>
            <w:gridSpan w:val="2"/>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84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+5.75%</w:t>
            </w:r>
          </w:p>
        </w:tc>
        <w:tc>
          <w:tcPr>
            <w:tcW w:w="78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800" w:type="dxa"/>
            <w:vAlign w:val="bottom"/>
            <w:gridSpan w:val="2"/>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n/m (18)</w:t>
            </w:r>
          </w:p>
        </w:tc>
        <w:tc>
          <w:tcPr>
            <w:tcW w:w="120" w:type="dxa"/>
            <w:vAlign w:val="bottom"/>
          </w:tcPr>
          <w:p>
            <w:pPr>
              <w:spacing w:after="0"/>
              <w:rPr>
                <w:sz w:val="12"/>
                <w:szCs w:val="12"/>
                <w:color w:val="auto"/>
              </w:rPr>
            </w:pPr>
          </w:p>
        </w:tc>
        <w:tc>
          <w:tcPr>
            <w:tcW w:w="88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9/5/2025</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9/5/2030</w:t>
            </w:r>
          </w:p>
        </w:tc>
        <w:tc>
          <w:tcPr>
            <w:tcW w:w="14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8"/>
        </w:trPr>
        <w:tc>
          <w:tcPr>
            <w:tcW w:w="2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0" w:type="dxa"/>
            <w:vAlign w:val="bottom"/>
            <w:gridSpan w:val="2"/>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+5.75%</w:t>
            </w:r>
          </w:p>
        </w:tc>
        <w:tc>
          <w:tcPr>
            <w:tcW w:w="78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40" w:type="dxa"/>
            <w:vAlign w:val="bottom"/>
            <w:shd w:val="clear" w:color="auto" w:fill="CAEEFB"/>
          </w:tcPr>
          <w:p>
            <w:pPr>
              <w:spacing w:after="0"/>
              <w:rPr>
                <w:sz w:val="12"/>
                <w:szCs w:val="12"/>
                <w:color w:val="auto"/>
              </w:rPr>
            </w:pPr>
          </w:p>
        </w:tc>
        <w:tc>
          <w:tcPr>
            <w:tcW w:w="2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2,573</w:t>
            </w: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2,548</w:t>
            </w: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2,570</w:t>
            </w: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jc w:val="right"/>
              <w:spacing w:after="0" w:line="142" w:lineRule="exact"/>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24 Seven Holdco, LLC (15)</w:t>
            </w:r>
          </w:p>
        </w:tc>
        <w:tc>
          <w:tcPr>
            <w:tcW w:w="1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Temporary Help Services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gridSpan w:val="2"/>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10.96%</w:t>
            </w: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1/28/2022</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11/16/2027</w:t>
            </w:r>
          </w:p>
        </w:tc>
        <w:tc>
          <w:tcPr>
            <w:tcW w:w="8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8,386</w:t>
            </w: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8,366</w:t>
            </w: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8,361</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0" w:type="dxa"/>
            <w:vAlign w:val="bottom"/>
          </w:tcPr>
          <w:p>
            <w:pPr>
              <w:spacing w:after="0"/>
              <w:rPr>
                <w:sz w:val="1"/>
                <w:szCs w:val="1"/>
                <w:color w:val="auto"/>
              </w:rPr>
            </w:pPr>
          </w:p>
        </w:tc>
      </w:tr>
      <w:tr>
        <w:trPr>
          <w:trHeight w:val="171"/>
        </w:trPr>
        <w:tc>
          <w:tcPr>
            <w:tcW w:w="2540" w:type="dxa"/>
            <w:vAlign w:val="bottom"/>
            <w:gridSpan w:val="2"/>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84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+7.13%</w:t>
            </w:r>
          </w:p>
        </w:tc>
        <w:tc>
          <w:tcPr>
            <w:tcW w:w="78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800" w:type="dxa"/>
            <w:vAlign w:val="bottom"/>
            <w:gridSpan w:val="2"/>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gridSpan w:val="2"/>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AIDC IntermediateCo 2, LLC (15)</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line="139" w:lineRule="exact"/>
              <w:rPr>
                <w:sz w:val="20"/>
                <w:szCs w:val="20"/>
                <w:color w:val="auto"/>
              </w:rPr>
            </w:pPr>
            <w:r>
              <w:rPr>
                <w:rFonts w:ascii="Times New Roman" w:cs="Times New Roman" w:eastAsia="Times New Roman" w:hAnsi="Times New Roman"/>
                <w:sz w:val="14"/>
                <w:szCs w:val="14"/>
                <w:color w:val="auto"/>
              </w:rPr>
              <w:t>Computer Systems Design</w:t>
            </w: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gridSpan w:val="2"/>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Services</w:t>
            </w: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8.97%</w:t>
            </w:r>
          </w:p>
        </w:tc>
        <w:tc>
          <w:tcPr>
            <w:tcW w:w="120" w:type="dxa"/>
            <w:vAlign w:val="bottom"/>
          </w:tcPr>
          <w:p>
            <w:pPr>
              <w:spacing w:after="0"/>
              <w:rPr>
                <w:sz w:val="12"/>
                <w:szCs w:val="12"/>
                <w:color w:val="auto"/>
              </w:rPr>
            </w:pPr>
          </w:p>
        </w:tc>
        <w:tc>
          <w:tcPr>
            <w:tcW w:w="88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7/22/2022</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7/22/2027</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1,938</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171"/>
        </w:trPr>
        <w:tc>
          <w:tcPr>
            <w:tcW w:w="2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+5.25%</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gridSpan w:val="2"/>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8.97%</w:t>
            </w: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7/31/2023</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7/22/2027</w:t>
            </w:r>
          </w:p>
        </w:tc>
        <w:tc>
          <w:tcPr>
            <w:tcW w:w="140" w:type="dxa"/>
            <w:vAlign w:val="bottom"/>
            <w:vMerge w:val="restart"/>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AEEFB"/>
          </w:tcPr>
          <w:p>
            <w:pPr>
              <w:spacing w:after="0"/>
              <w:rPr>
                <w:sz w:val="12"/>
                <w:szCs w:val="12"/>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8"/>
        </w:trPr>
        <w:tc>
          <w:tcPr>
            <w:tcW w:w="2540" w:type="dxa"/>
            <w:vAlign w:val="bottom"/>
            <w:tcBorders>
              <w:bottom w:val="single" w:sz="8" w:color="CAEEFB"/>
            </w:tcBorders>
            <w:gridSpan w:val="2"/>
            <w:vMerge w:val="continue"/>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1760" w:type="dxa"/>
            <w:vAlign w:val="bottom"/>
            <w:tcBorders>
              <w:bottom w:val="single" w:sz="8" w:color="CAEEFB"/>
            </w:tcBorders>
            <w:shd w:val="clear" w:color="auto" w:fill="CAEEFB"/>
          </w:tcPr>
          <w:p>
            <w:pPr>
              <w:spacing w:after="0"/>
              <w:rPr>
                <w:sz w:val="13"/>
                <w:szCs w:val="13"/>
                <w:color w:val="auto"/>
              </w:rPr>
            </w:pPr>
          </w:p>
        </w:tc>
        <w:tc>
          <w:tcPr>
            <w:tcW w:w="840" w:type="dxa"/>
            <w:vAlign w:val="bottom"/>
            <w:tcBorders>
              <w:bottom w:val="single" w:sz="8" w:color="CAEEFB"/>
            </w:tcBorders>
            <w:gridSpan w:val="2"/>
            <w:vMerge w:val="continue"/>
            <w:shd w:val="clear" w:color="auto" w:fill="CAEEFB"/>
          </w:tcPr>
          <w:p>
            <w:pPr>
              <w:spacing w:after="0"/>
              <w:rPr>
                <w:sz w:val="13"/>
                <w:szCs w:val="13"/>
                <w:color w:val="auto"/>
              </w:rPr>
            </w:pPr>
          </w:p>
        </w:tc>
        <w:tc>
          <w:tcPr>
            <w:tcW w:w="1000" w:type="dxa"/>
            <w:vAlign w:val="bottom"/>
            <w:tcBorders>
              <w:bottom w:val="single" w:sz="8" w:color="CAEEFB"/>
            </w:tcBorders>
            <w:gridSpan w:val="2"/>
            <w:shd w:val="clear" w:color="auto" w:fill="CAEEFB"/>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+5.25%</w:t>
            </w:r>
          </w:p>
        </w:tc>
        <w:tc>
          <w:tcPr>
            <w:tcW w:w="780" w:type="dxa"/>
            <w:vAlign w:val="bottom"/>
            <w:tcBorders>
              <w:bottom w:val="single" w:sz="8" w:color="CAEEFB"/>
            </w:tcBorders>
            <w:gridSpan w:val="2"/>
            <w:vMerge w:val="continue"/>
            <w:shd w:val="clear" w:color="auto" w:fill="CAEEFB"/>
          </w:tcPr>
          <w:p>
            <w:pPr>
              <w:spacing w:after="0"/>
              <w:rPr>
                <w:sz w:val="13"/>
                <w:szCs w:val="13"/>
                <w:color w:val="auto"/>
              </w:rPr>
            </w:pPr>
          </w:p>
        </w:tc>
        <w:tc>
          <w:tcPr>
            <w:tcW w:w="780" w:type="dxa"/>
            <w:vAlign w:val="bottom"/>
            <w:tcBorders>
              <w:bottom w:val="single" w:sz="8" w:color="CAEEFB"/>
            </w:tcBorders>
            <w:gridSpan w:val="2"/>
            <w:vMerge w:val="continue"/>
            <w:shd w:val="clear" w:color="auto" w:fill="CAEEFB"/>
          </w:tcPr>
          <w:p>
            <w:pPr>
              <w:spacing w:after="0"/>
              <w:rPr>
                <w:sz w:val="13"/>
                <w:szCs w:val="13"/>
                <w:color w:val="auto"/>
              </w:rPr>
            </w:pPr>
          </w:p>
        </w:tc>
        <w:tc>
          <w:tcPr>
            <w:tcW w:w="140" w:type="dxa"/>
            <w:vAlign w:val="bottom"/>
            <w:tcBorders>
              <w:bottom w:val="single" w:sz="8" w:color="CAEEFB"/>
            </w:tcBorders>
            <w:vMerge w:val="continue"/>
            <w:shd w:val="clear" w:color="auto" w:fill="CAEEFB"/>
          </w:tcPr>
          <w:p>
            <w:pPr>
              <w:spacing w:after="0"/>
              <w:rPr>
                <w:sz w:val="13"/>
                <w:szCs w:val="13"/>
                <w:color w:val="auto"/>
              </w:rPr>
            </w:pPr>
          </w:p>
        </w:tc>
        <w:tc>
          <w:tcPr>
            <w:tcW w:w="660" w:type="dxa"/>
            <w:vAlign w:val="bottom"/>
            <w:tcBorders>
              <w:bottom w:val="single" w:sz="8" w:color="auto"/>
            </w:tcBorders>
            <w:vMerge w:val="continue"/>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120" w:type="dxa"/>
            <w:vAlign w:val="bottom"/>
            <w:tcBorders>
              <w:bottom w:val="single" w:sz="8" w:color="auto"/>
            </w:tcBorders>
            <w:shd w:val="clear" w:color="auto" w:fill="CAEEFB"/>
          </w:tcPr>
          <w:p>
            <w:pPr>
              <w:spacing w:after="0"/>
              <w:rPr>
                <w:sz w:val="13"/>
                <w:szCs w:val="13"/>
                <w:color w:val="auto"/>
              </w:rPr>
            </w:pPr>
          </w:p>
        </w:tc>
        <w:tc>
          <w:tcPr>
            <w:tcW w:w="66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140" w:type="dxa"/>
            <w:vAlign w:val="bottom"/>
            <w:tcBorders>
              <w:bottom w:val="single" w:sz="8" w:color="auto"/>
            </w:tcBorders>
            <w:shd w:val="clear" w:color="auto" w:fill="CAEEFB"/>
          </w:tcPr>
          <w:p>
            <w:pPr>
              <w:spacing w:after="0"/>
              <w:rPr>
                <w:sz w:val="13"/>
                <w:szCs w:val="13"/>
                <w:color w:val="auto"/>
              </w:rPr>
            </w:pPr>
          </w:p>
        </w:tc>
        <w:tc>
          <w:tcPr>
            <w:tcW w:w="66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760" w:type="dxa"/>
            <w:vAlign w:val="bottom"/>
            <w:tcBorders>
              <w:bottom w:val="single" w:sz="8" w:color="auto"/>
            </w:tcBorders>
            <w:vMerge w:val="continue"/>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1,985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1,970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1,983</w:t>
            </w:r>
          </w:p>
        </w:tc>
        <w:tc>
          <w:tcPr>
            <w:tcW w:w="8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139"/>
        </w:trPr>
        <w:tc>
          <w:tcPr>
            <w:tcW w:w="2540" w:type="dxa"/>
            <w:vAlign w:val="bottom"/>
            <w:gridSpan w:val="2"/>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Allen Media, LLC (15)</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line="139" w:lineRule="exact"/>
              <w:rPr>
                <w:sz w:val="20"/>
                <w:szCs w:val="20"/>
                <w:color w:val="auto"/>
              </w:rPr>
            </w:pPr>
            <w:r>
              <w:rPr>
                <w:rFonts w:ascii="Times New Roman" w:cs="Times New Roman" w:eastAsia="Times New Roman" w:hAnsi="Times New Roman"/>
                <w:sz w:val="14"/>
                <w:szCs w:val="14"/>
                <w:color w:val="auto"/>
              </w:rPr>
              <w:t>Cable and Other Subscription</w:t>
            </w: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gridSpan w:val="2"/>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Programming</w:t>
            </w: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9.32%</w:t>
            </w:r>
          </w:p>
        </w:tc>
        <w:tc>
          <w:tcPr>
            <w:tcW w:w="120" w:type="dxa"/>
            <w:vAlign w:val="bottom"/>
          </w:tcPr>
          <w:p>
            <w:pPr>
              <w:spacing w:after="0"/>
              <w:rPr>
                <w:sz w:val="12"/>
                <w:szCs w:val="12"/>
                <w:color w:val="auto"/>
              </w:rPr>
            </w:pPr>
          </w:p>
        </w:tc>
        <w:tc>
          <w:tcPr>
            <w:tcW w:w="88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3/2/2021</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2/10/2027</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3,652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2,862</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171"/>
        </w:trPr>
        <w:tc>
          <w:tcPr>
            <w:tcW w:w="2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+5.50%</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shd w:val="clear" w:color="auto" w:fill="CAEEFB"/>
          </w:tcPr>
          <w:p>
            <w:pPr>
              <w:spacing w:after="0"/>
              <w:rPr>
                <w:sz w:val="14"/>
                <w:szCs w:val="14"/>
                <w:color w:val="auto"/>
              </w:rPr>
            </w:pPr>
          </w:p>
        </w:tc>
        <w:tc>
          <w:tcPr>
            <w:tcW w:w="2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Associated Spring, LLC (15)</w:t>
            </w:r>
          </w:p>
        </w:tc>
        <w:tc>
          <w:tcPr>
            <w:tcW w:w="1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Spring Manufacturing</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gridSpan w:val="2"/>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8.59%</w:t>
            </w: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12/10/2024</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4/4/2030</w:t>
            </w:r>
          </w:p>
        </w:tc>
        <w:tc>
          <w:tcPr>
            <w:tcW w:w="8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2,219</w:t>
            </w: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2,183</w:t>
            </w: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2,212</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71"/>
        </w:trPr>
        <w:tc>
          <w:tcPr>
            <w:tcW w:w="2540" w:type="dxa"/>
            <w:vAlign w:val="bottom"/>
            <w:gridSpan w:val="2"/>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84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+4.75%</w:t>
            </w:r>
          </w:p>
        </w:tc>
        <w:tc>
          <w:tcPr>
            <w:tcW w:w="78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800" w:type="dxa"/>
            <w:vAlign w:val="bottom"/>
            <w:gridSpan w:val="2"/>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 Lien Debt (Delayed Draw) (5)</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8.57%</w:t>
            </w:r>
          </w:p>
        </w:tc>
        <w:tc>
          <w:tcPr>
            <w:tcW w:w="120" w:type="dxa"/>
            <w:vAlign w:val="bottom"/>
          </w:tcPr>
          <w:p>
            <w:pPr>
              <w:spacing w:after="0"/>
              <w:rPr>
                <w:sz w:val="12"/>
                <w:szCs w:val="12"/>
                <w:color w:val="auto"/>
              </w:rPr>
            </w:pPr>
          </w:p>
        </w:tc>
        <w:tc>
          <w:tcPr>
            <w:tcW w:w="88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12/10/2024</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4/4/2030</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233</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58"/>
        </w:trPr>
        <w:tc>
          <w:tcPr>
            <w:tcW w:w="2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0" w:type="dxa"/>
            <w:vAlign w:val="bottom"/>
            <w:gridSpan w:val="2"/>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+4.75%</w:t>
            </w:r>
          </w:p>
        </w:tc>
        <w:tc>
          <w:tcPr>
            <w:tcW w:w="78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40" w:type="dxa"/>
            <w:vAlign w:val="bottom"/>
            <w:shd w:val="clear" w:color="auto" w:fill="CAEEFB"/>
          </w:tcPr>
          <w:p>
            <w:pPr>
              <w:spacing w:after="0"/>
              <w:rPr>
                <w:sz w:val="13"/>
                <w:szCs w:val="13"/>
                <w:color w:val="auto"/>
              </w:rPr>
            </w:pPr>
          </w:p>
        </w:tc>
        <w:tc>
          <w:tcPr>
            <w:tcW w:w="20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17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72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88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40" w:type="dxa"/>
            <w:vAlign w:val="bottom"/>
            <w:shd w:val="clear" w:color="auto" w:fill="CAEEFB"/>
          </w:tcPr>
          <w:p>
            <w:pPr>
              <w:spacing w:after="0"/>
              <w:rPr>
                <w:sz w:val="13"/>
                <w:szCs w:val="13"/>
                <w:color w:val="auto"/>
              </w:rPr>
            </w:pPr>
          </w:p>
        </w:tc>
        <w:tc>
          <w:tcPr>
            <w:tcW w:w="660" w:type="dxa"/>
            <w:vAlign w:val="bottom"/>
            <w:tcBorders>
              <w:top w:val="single" w:sz="8" w:color="auto"/>
            </w:tcBorders>
            <w:shd w:val="clear" w:color="auto" w:fill="CAEEFB"/>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2,457</w:t>
            </w:r>
          </w:p>
        </w:tc>
        <w:tc>
          <w:tcPr>
            <w:tcW w:w="120" w:type="dxa"/>
            <w:vAlign w:val="bottom"/>
            <w:shd w:val="clear" w:color="auto" w:fill="CAEEFB"/>
          </w:tcPr>
          <w:p>
            <w:pPr>
              <w:spacing w:after="0"/>
              <w:rPr>
                <w:sz w:val="13"/>
                <w:szCs w:val="13"/>
                <w:color w:val="auto"/>
              </w:rPr>
            </w:pPr>
          </w:p>
        </w:tc>
        <w:tc>
          <w:tcPr>
            <w:tcW w:w="120" w:type="dxa"/>
            <w:vAlign w:val="bottom"/>
            <w:tcBorders>
              <w:top w:val="single" w:sz="8" w:color="auto"/>
            </w:tcBorders>
            <w:shd w:val="clear" w:color="auto" w:fill="CAEEFB"/>
          </w:tcPr>
          <w:p>
            <w:pPr>
              <w:spacing w:after="0"/>
              <w:rPr>
                <w:sz w:val="13"/>
                <w:szCs w:val="13"/>
                <w:color w:val="auto"/>
              </w:rPr>
            </w:pPr>
          </w:p>
        </w:tc>
        <w:tc>
          <w:tcPr>
            <w:tcW w:w="660" w:type="dxa"/>
            <w:vAlign w:val="bottom"/>
            <w:tcBorders>
              <w:top w:val="single" w:sz="8" w:color="auto"/>
            </w:tcBorders>
            <w:shd w:val="clear" w:color="auto" w:fill="CAEEFB"/>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2,413</w:t>
            </w:r>
          </w:p>
        </w:tc>
        <w:tc>
          <w:tcPr>
            <w:tcW w:w="100" w:type="dxa"/>
            <w:vAlign w:val="bottom"/>
            <w:shd w:val="clear" w:color="auto" w:fill="CAEEFB"/>
          </w:tcPr>
          <w:p>
            <w:pPr>
              <w:spacing w:after="0"/>
              <w:rPr>
                <w:sz w:val="13"/>
                <w:szCs w:val="13"/>
                <w:color w:val="auto"/>
              </w:rPr>
            </w:pPr>
          </w:p>
        </w:tc>
        <w:tc>
          <w:tcPr>
            <w:tcW w:w="140" w:type="dxa"/>
            <w:vAlign w:val="bottom"/>
            <w:tcBorders>
              <w:top w:val="single" w:sz="8" w:color="auto"/>
            </w:tcBorders>
            <w:shd w:val="clear" w:color="auto" w:fill="CAEEFB"/>
          </w:tcPr>
          <w:p>
            <w:pPr>
              <w:spacing w:after="0"/>
              <w:rPr>
                <w:sz w:val="13"/>
                <w:szCs w:val="13"/>
                <w:color w:val="auto"/>
              </w:rPr>
            </w:pPr>
          </w:p>
        </w:tc>
        <w:tc>
          <w:tcPr>
            <w:tcW w:w="660" w:type="dxa"/>
            <w:vAlign w:val="bottom"/>
            <w:tcBorders>
              <w:top w:val="single" w:sz="8" w:color="auto"/>
            </w:tcBorders>
            <w:shd w:val="clear" w:color="auto" w:fill="CAEEFB"/>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2,445</w:t>
            </w:r>
          </w:p>
        </w:tc>
        <w:tc>
          <w:tcPr>
            <w:tcW w:w="100" w:type="dxa"/>
            <w:vAlign w:val="bottom"/>
            <w:shd w:val="clear" w:color="auto" w:fill="CAEEFB"/>
          </w:tcPr>
          <w:p>
            <w:pPr>
              <w:spacing w:after="0"/>
              <w:rPr>
                <w:sz w:val="13"/>
                <w:szCs w:val="13"/>
                <w:color w:val="auto"/>
              </w:rPr>
            </w:pPr>
          </w:p>
        </w:tc>
        <w:tc>
          <w:tcPr>
            <w:tcW w:w="760" w:type="dxa"/>
            <w:vAlign w:val="bottom"/>
            <w:tcBorders>
              <w:top w:val="single" w:sz="8" w:color="auto"/>
            </w:tcBorders>
            <w:shd w:val="clear" w:color="auto" w:fill="CAEEFB"/>
          </w:tcPr>
          <w:p>
            <w:pPr>
              <w:jc w:val="right"/>
              <w:spacing w:after="0" w:line="155" w:lineRule="exact"/>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39"/>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Asurion, LLC (14) (15)</w:t>
            </w:r>
          </w:p>
        </w:tc>
        <w:tc>
          <w:tcPr>
            <w:tcW w:w="100" w:type="dxa"/>
            <w:vAlign w:val="bottom"/>
          </w:tcPr>
          <w:p>
            <w:pPr>
              <w:spacing w:after="0"/>
              <w:rPr>
                <w:sz w:val="12"/>
                <w:szCs w:val="12"/>
                <w:color w:val="auto"/>
              </w:rPr>
            </w:pPr>
          </w:p>
        </w:tc>
        <w:tc>
          <w:tcPr>
            <w:tcW w:w="17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Communication Equipment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Repair and Maintenance</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gridSpan w:val="2"/>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7.97%</w:t>
            </w: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10/28/2025</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9/19/2030</w:t>
            </w:r>
          </w:p>
        </w:tc>
        <w:tc>
          <w:tcPr>
            <w:tcW w:w="8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1,496</w:t>
            </w: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1,493</w:t>
            </w: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1,498</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71"/>
        </w:trPr>
        <w:tc>
          <w:tcPr>
            <w:tcW w:w="2540" w:type="dxa"/>
            <w:vAlign w:val="bottom"/>
            <w:gridSpan w:val="2"/>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84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+4.25%</w:t>
            </w:r>
          </w:p>
        </w:tc>
        <w:tc>
          <w:tcPr>
            <w:tcW w:w="78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800" w:type="dxa"/>
            <w:vAlign w:val="bottom"/>
            <w:gridSpan w:val="2"/>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gridSpan w:val="2"/>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Avison Young Inc. (8)</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line="139" w:lineRule="exact"/>
              <w:rPr>
                <w:sz w:val="20"/>
                <w:szCs w:val="20"/>
                <w:color w:val="auto"/>
              </w:rPr>
            </w:pPr>
            <w:r>
              <w:rPr>
                <w:rFonts w:ascii="Times New Roman" w:cs="Times New Roman" w:eastAsia="Times New Roman" w:hAnsi="Times New Roman"/>
                <w:sz w:val="14"/>
                <w:szCs w:val="14"/>
                <w:color w:val="auto"/>
              </w:rPr>
              <w:t>Nonresidential Property</w:t>
            </w: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gridSpan w:val="2"/>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Managers</w:t>
            </w: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3.70% cash</w:t>
            </w:r>
          </w:p>
        </w:tc>
        <w:tc>
          <w:tcPr>
            <w:tcW w:w="120" w:type="dxa"/>
            <w:vAlign w:val="bottom"/>
          </w:tcPr>
          <w:p>
            <w:pPr>
              <w:spacing w:after="0"/>
              <w:rPr>
                <w:sz w:val="12"/>
                <w:szCs w:val="12"/>
                <w:color w:val="auto"/>
              </w:rPr>
            </w:pPr>
          </w:p>
        </w:tc>
        <w:tc>
          <w:tcPr>
            <w:tcW w:w="88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SOFR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 Lien Debt (11)</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 8.50%</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12/18/2025</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12/12/2027</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83</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71"/>
        </w:trPr>
        <w:tc>
          <w:tcPr>
            <w:tcW w:w="2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PIK</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+8.50%</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340" w:type="dxa"/>
            <w:vAlign w:val="bottom"/>
            <w:shd w:val="clear" w:color="auto" w:fill="CAEEFB"/>
          </w:tcPr>
          <w:p>
            <w:pPr>
              <w:spacing w:after="0"/>
              <w:rPr>
                <w:sz w:val="12"/>
                <w:szCs w:val="12"/>
                <w:color w:val="auto"/>
              </w:rPr>
            </w:pPr>
          </w:p>
        </w:tc>
        <w:tc>
          <w:tcPr>
            <w:tcW w:w="2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jc w:val="center"/>
              <w:spacing w:after="0" w:line="139" w:lineRule="exact"/>
              <w:rPr>
                <w:sz w:val="20"/>
                <w:szCs w:val="20"/>
                <w:color w:val="auto"/>
              </w:rPr>
            </w:pPr>
            <w:r>
              <w:rPr>
                <w:rFonts w:ascii="Times New Roman" w:cs="Times New Roman" w:eastAsia="Times New Roman" w:hAnsi="Times New Roman"/>
                <w:sz w:val="14"/>
                <w:szCs w:val="14"/>
                <w:color w:val="auto"/>
              </w:rPr>
              <w:t>5.20% cash</w:t>
            </w:r>
          </w:p>
        </w:tc>
        <w:tc>
          <w:tcPr>
            <w:tcW w:w="120" w:type="dxa"/>
            <w:vAlign w:val="bottom"/>
            <w:shd w:val="clear" w:color="auto" w:fill="CAEEFB"/>
          </w:tcPr>
          <w:p>
            <w:pPr>
              <w:spacing w:after="0"/>
              <w:rPr>
                <w:sz w:val="12"/>
                <w:szCs w:val="12"/>
                <w:color w:val="auto"/>
              </w:rPr>
            </w:pPr>
          </w:p>
        </w:tc>
        <w:tc>
          <w:tcPr>
            <w:tcW w:w="880" w:type="dxa"/>
            <w:vAlign w:val="bottom"/>
            <w:vMerge w:val="restart"/>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SOFR</w:t>
            </w: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(11) (15)</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shd w:val="clear" w:color="auto" w:fill="CAEEFB"/>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 5.85%</w:t>
            </w:r>
          </w:p>
        </w:tc>
        <w:tc>
          <w:tcPr>
            <w:tcW w:w="120" w:type="dxa"/>
            <w:vAlign w:val="bottom"/>
            <w:shd w:val="clear" w:color="auto" w:fill="CAEEFB"/>
          </w:tcPr>
          <w:p>
            <w:pPr>
              <w:spacing w:after="0"/>
              <w:rPr>
                <w:sz w:val="12"/>
                <w:szCs w:val="12"/>
                <w:color w:val="auto"/>
              </w:rPr>
            </w:pPr>
          </w:p>
        </w:tc>
        <w:tc>
          <w:tcPr>
            <w:tcW w:w="880" w:type="dxa"/>
            <w:vAlign w:val="bottom"/>
            <w:vMerge w:val="continue"/>
            <w:shd w:val="clear" w:color="auto" w:fill="CAEEFB"/>
          </w:tcPr>
          <w:p>
            <w:pPr>
              <w:spacing w:after="0"/>
              <w:rPr>
                <w:sz w:val="12"/>
                <w:szCs w:val="12"/>
                <w:color w:val="auto"/>
              </w:rPr>
            </w:pP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12/18/2025</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12/12/2027</w:t>
            </w:r>
          </w:p>
        </w:tc>
        <w:tc>
          <w:tcPr>
            <w:tcW w:w="8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234</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71"/>
        </w:trPr>
        <w:tc>
          <w:tcPr>
            <w:tcW w:w="2540" w:type="dxa"/>
            <w:vAlign w:val="bottom"/>
            <w:gridSpan w:val="2"/>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jc w:val="center"/>
              <w:spacing w:after="0"/>
              <w:rPr>
                <w:sz w:val="20"/>
                <w:szCs w:val="20"/>
                <w:color w:val="auto"/>
              </w:rPr>
            </w:pPr>
            <w:r>
              <w:rPr>
                <w:rFonts w:ascii="Times New Roman" w:cs="Times New Roman" w:eastAsia="Times New Roman" w:hAnsi="Times New Roman"/>
                <w:sz w:val="14"/>
                <w:szCs w:val="14"/>
                <w:color w:val="auto"/>
                <w:w w:val="97"/>
              </w:rPr>
              <w:t>PIK</w:t>
            </w: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+7.35%</w:t>
            </w:r>
          </w:p>
        </w:tc>
        <w:tc>
          <w:tcPr>
            <w:tcW w:w="78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800" w:type="dxa"/>
            <w:vAlign w:val="bottom"/>
            <w:gridSpan w:val="2"/>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5.49% cash</w:t>
            </w:r>
          </w:p>
        </w:tc>
        <w:tc>
          <w:tcPr>
            <w:tcW w:w="120" w:type="dxa"/>
            <w:vAlign w:val="bottom"/>
          </w:tcPr>
          <w:p>
            <w:pPr>
              <w:spacing w:after="0"/>
              <w:rPr>
                <w:sz w:val="10"/>
                <w:szCs w:val="10"/>
                <w:color w:val="auto"/>
              </w:rPr>
            </w:pPr>
          </w:p>
        </w:tc>
        <w:tc>
          <w:tcPr>
            <w:tcW w:w="88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SOFR</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 Lien Debt (11) (15)</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 6.50%</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11/25/2021</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3/12/2029</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1,669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1,670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1,452</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71"/>
        </w:trPr>
        <w:tc>
          <w:tcPr>
            <w:tcW w:w="2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PIK</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+8.00%</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340" w:type="dxa"/>
            <w:vAlign w:val="bottom"/>
            <w:shd w:val="clear" w:color="auto" w:fill="CAEEFB"/>
          </w:tcPr>
          <w:p>
            <w:pPr>
              <w:spacing w:after="0"/>
              <w:rPr>
                <w:sz w:val="12"/>
                <w:szCs w:val="12"/>
                <w:color w:val="auto"/>
              </w:rPr>
            </w:pPr>
          </w:p>
        </w:tc>
        <w:tc>
          <w:tcPr>
            <w:tcW w:w="2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jc w:val="center"/>
              <w:spacing w:after="0" w:line="139" w:lineRule="exact"/>
              <w:rPr>
                <w:sz w:val="20"/>
                <w:szCs w:val="20"/>
                <w:color w:val="auto"/>
              </w:rPr>
            </w:pPr>
            <w:r>
              <w:rPr>
                <w:rFonts w:ascii="Times New Roman" w:cs="Times New Roman" w:eastAsia="Times New Roman" w:hAnsi="Times New Roman"/>
                <w:sz w:val="14"/>
                <w:szCs w:val="14"/>
                <w:color w:val="auto"/>
              </w:rPr>
              <w:t>5.60% cash</w:t>
            </w:r>
          </w:p>
        </w:tc>
        <w:tc>
          <w:tcPr>
            <w:tcW w:w="120" w:type="dxa"/>
            <w:vAlign w:val="bottom"/>
            <w:shd w:val="clear" w:color="auto" w:fill="CAEEFB"/>
          </w:tcPr>
          <w:p>
            <w:pPr>
              <w:spacing w:after="0"/>
              <w:rPr>
                <w:sz w:val="12"/>
                <w:szCs w:val="12"/>
                <w:color w:val="auto"/>
              </w:rPr>
            </w:pPr>
          </w:p>
        </w:tc>
        <w:tc>
          <w:tcPr>
            <w:tcW w:w="880" w:type="dxa"/>
            <w:vAlign w:val="bottom"/>
            <w:vMerge w:val="restart"/>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SOFR</w:t>
            </w: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2"/>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(6) (10) (11) (15)</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shd w:val="clear" w:color="auto" w:fill="CAEEFB"/>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 6.50%</w:t>
            </w:r>
          </w:p>
        </w:tc>
        <w:tc>
          <w:tcPr>
            <w:tcW w:w="120" w:type="dxa"/>
            <w:vAlign w:val="bottom"/>
            <w:shd w:val="clear" w:color="auto" w:fill="CAEEFB"/>
          </w:tcPr>
          <w:p>
            <w:pPr>
              <w:spacing w:after="0"/>
              <w:rPr>
                <w:sz w:val="12"/>
                <w:szCs w:val="12"/>
                <w:color w:val="auto"/>
              </w:rPr>
            </w:pPr>
          </w:p>
        </w:tc>
        <w:tc>
          <w:tcPr>
            <w:tcW w:w="880" w:type="dxa"/>
            <w:vAlign w:val="bottom"/>
            <w:vMerge w:val="continue"/>
            <w:shd w:val="clear" w:color="auto" w:fill="CAEEFB"/>
          </w:tcPr>
          <w:p>
            <w:pPr>
              <w:spacing w:after="0"/>
              <w:rPr>
                <w:sz w:val="12"/>
                <w:szCs w:val="12"/>
                <w:color w:val="auto"/>
              </w:rPr>
            </w:pP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11/25/2021</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3/12/2029</w:t>
            </w:r>
          </w:p>
        </w:tc>
        <w:tc>
          <w:tcPr>
            <w:tcW w:w="8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329</w:t>
            </w: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249</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71"/>
        </w:trPr>
        <w:tc>
          <w:tcPr>
            <w:tcW w:w="2540" w:type="dxa"/>
            <w:vAlign w:val="bottom"/>
            <w:gridSpan w:val="2"/>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jc w:val="center"/>
              <w:spacing w:after="0"/>
              <w:rPr>
                <w:sz w:val="20"/>
                <w:szCs w:val="20"/>
                <w:color w:val="auto"/>
              </w:rPr>
            </w:pPr>
            <w:r>
              <w:rPr>
                <w:rFonts w:ascii="Times New Roman" w:cs="Times New Roman" w:eastAsia="Times New Roman" w:hAnsi="Times New Roman"/>
                <w:sz w:val="14"/>
                <w:szCs w:val="14"/>
                <w:color w:val="auto"/>
                <w:w w:val="97"/>
              </w:rPr>
              <w:t>PIK</w:t>
            </w: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+8.00%</w:t>
            </w:r>
          </w:p>
        </w:tc>
        <w:tc>
          <w:tcPr>
            <w:tcW w:w="78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800" w:type="dxa"/>
            <w:vAlign w:val="bottom"/>
            <w:gridSpan w:val="2"/>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 Lien Debt (Delayed Draw) (5)</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n/m (18)</w:t>
            </w:r>
          </w:p>
        </w:tc>
        <w:tc>
          <w:tcPr>
            <w:tcW w:w="120" w:type="dxa"/>
            <w:vAlign w:val="bottom"/>
          </w:tcPr>
          <w:p>
            <w:pPr>
              <w:spacing w:after="0"/>
              <w:rPr>
                <w:sz w:val="12"/>
                <w:szCs w:val="12"/>
                <w:color w:val="auto"/>
              </w:rPr>
            </w:pPr>
          </w:p>
        </w:tc>
        <w:tc>
          <w:tcPr>
            <w:tcW w:w="88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12/18/2025</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12/12/2027</w:t>
            </w:r>
          </w:p>
        </w:tc>
        <w:tc>
          <w:tcPr>
            <w:tcW w:w="14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+8.50%</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gridSpan w:val="2"/>
            <w:shd w:val="clear" w:color="auto" w:fill="CAEEFB"/>
          </w:tcPr>
          <w:p>
            <w:pPr>
              <w:spacing w:after="0" w:line="139" w:lineRule="exact"/>
              <w:rPr>
                <w:sz w:val="20"/>
                <w:szCs w:val="20"/>
                <w:color w:val="auto"/>
              </w:rPr>
            </w:pPr>
            <w:r>
              <w:rPr>
                <w:rFonts w:ascii="Times New Roman" w:cs="Times New Roman" w:eastAsia="Times New Roman" w:hAnsi="Times New Roman"/>
                <w:sz w:val="14"/>
                <w:szCs w:val="14"/>
                <w:color w:val="auto"/>
              </w:rPr>
              <w:t>Common Equity (1,185 Class B units) (10)</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3/12/2024</w:t>
            </w: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AEEFB"/>
          </w:tcPr>
          <w:p>
            <w:pPr>
              <w:spacing w:after="0"/>
              <w:rPr>
                <w:sz w:val="12"/>
                <w:szCs w:val="12"/>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3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(13) (15)</w:t>
            </w:r>
          </w:p>
        </w:tc>
        <w:tc>
          <w:tcPr>
            <w:tcW w:w="2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Preferred Equity (1,715 Class A units)</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3/12/2024</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1,269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118</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58"/>
        </w:trPr>
        <w:tc>
          <w:tcPr>
            <w:tcW w:w="254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12.5% PIK (10) (13) (15)</w:t>
            </w: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40" w:type="dxa"/>
            <w:vAlign w:val="bottom"/>
            <w:shd w:val="clear" w:color="auto" w:fill="CAEEFB"/>
          </w:tcPr>
          <w:p>
            <w:pPr>
              <w:spacing w:after="0"/>
              <w:rPr>
                <w:sz w:val="13"/>
                <w:szCs w:val="13"/>
                <w:color w:val="auto"/>
              </w:rPr>
            </w:pPr>
          </w:p>
        </w:tc>
        <w:tc>
          <w:tcPr>
            <w:tcW w:w="20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17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72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88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40" w:type="dxa"/>
            <w:vAlign w:val="bottom"/>
            <w:shd w:val="clear" w:color="auto" w:fill="CAEEFB"/>
          </w:tcPr>
          <w:p>
            <w:pPr>
              <w:spacing w:after="0"/>
              <w:rPr>
                <w:sz w:val="13"/>
                <w:szCs w:val="13"/>
                <w:color w:val="auto"/>
              </w:rPr>
            </w:pPr>
          </w:p>
        </w:tc>
        <w:tc>
          <w:tcPr>
            <w:tcW w:w="660" w:type="dxa"/>
            <w:vAlign w:val="bottom"/>
            <w:tcBorders>
              <w:top w:val="single" w:sz="8" w:color="auto"/>
            </w:tcBorders>
            <w:shd w:val="clear" w:color="auto" w:fill="CAEEFB"/>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2,311</w:t>
            </w:r>
          </w:p>
        </w:tc>
        <w:tc>
          <w:tcPr>
            <w:tcW w:w="120" w:type="dxa"/>
            <w:vAlign w:val="bottom"/>
            <w:shd w:val="clear" w:color="auto" w:fill="CAEEFB"/>
          </w:tcPr>
          <w:p>
            <w:pPr>
              <w:spacing w:after="0"/>
              <w:rPr>
                <w:sz w:val="13"/>
                <w:szCs w:val="13"/>
                <w:color w:val="auto"/>
              </w:rPr>
            </w:pPr>
          </w:p>
        </w:tc>
        <w:tc>
          <w:tcPr>
            <w:tcW w:w="120" w:type="dxa"/>
            <w:vAlign w:val="bottom"/>
            <w:tcBorders>
              <w:top w:val="single" w:sz="8" w:color="auto"/>
            </w:tcBorders>
            <w:shd w:val="clear" w:color="auto" w:fill="CAEEFB"/>
          </w:tcPr>
          <w:p>
            <w:pPr>
              <w:spacing w:after="0"/>
              <w:rPr>
                <w:sz w:val="13"/>
                <w:szCs w:val="13"/>
                <w:color w:val="auto"/>
              </w:rPr>
            </w:pPr>
          </w:p>
        </w:tc>
        <w:tc>
          <w:tcPr>
            <w:tcW w:w="660" w:type="dxa"/>
            <w:vAlign w:val="bottom"/>
            <w:tcBorders>
              <w:top w:val="single" w:sz="8" w:color="auto"/>
            </w:tcBorders>
            <w:shd w:val="clear" w:color="auto" w:fill="CAEEFB"/>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4,865</w:t>
            </w:r>
          </w:p>
        </w:tc>
        <w:tc>
          <w:tcPr>
            <w:tcW w:w="100" w:type="dxa"/>
            <w:vAlign w:val="bottom"/>
            <w:shd w:val="clear" w:color="auto" w:fill="CAEEFB"/>
          </w:tcPr>
          <w:p>
            <w:pPr>
              <w:spacing w:after="0"/>
              <w:rPr>
                <w:sz w:val="13"/>
                <w:szCs w:val="13"/>
                <w:color w:val="auto"/>
              </w:rPr>
            </w:pPr>
          </w:p>
        </w:tc>
        <w:tc>
          <w:tcPr>
            <w:tcW w:w="140" w:type="dxa"/>
            <w:vAlign w:val="bottom"/>
            <w:tcBorders>
              <w:top w:val="single" w:sz="8" w:color="auto"/>
            </w:tcBorders>
            <w:shd w:val="clear" w:color="auto" w:fill="CAEEFB"/>
          </w:tcPr>
          <w:p>
            <w:pPr>
              <w:spacing w:after="0"/>
              <w:rPr>
                <w:sz w:val="13"/>
                <w:szCs w:val="13"/>
                <w:color w:val="auto"/>
              </w:rPr>
            </w:pPr>
          </w:p>
        </w:tc>
        <w:tc>
          <w:tcPr>
            <w:tcW w:w="660" w:type="dxa"/>
            <w:vAlign w:val="bottom"/>
            <w:tcBorders>
              <w:top w:val="single" w:sz="8" w:color="auto"/>
            </w:tcBorders>
            <w:shd w:val="clear" w:color="auto" w:fill="CAEEFB"/>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2,136</w:t>
            </w:r>
          </w:p>
        </w:tc>
        <w:tc>
          <w:tcPr>
            <w:tcW w:w="100" w:type="dxa"/>
            <w:vAlign w:val="bottom"/>
            <w:shd w:val="clear" w:color="auto" w:fill="CAEEFB"/>
          </w:tcPr>
          <w:p>
            <w:pPr>
              <w:spacing w:after="0"/>
              <w:rPr>
                <w:sz w:val="13"/>
                <w:szCs w:val="13"/>
                <w:color w:val="auto"/>
              </w:rPr>
            </w:pPr>
          </w:p>
        </w:tc>
        <w:tc>
          <w:tcPr>
            <w:tcW w:w="760" w:type="dxa"/>
            <w:vAlign w:val="bottom"/>
            <w:tcBorders>
              <w:top w:val="single" w:sz="8" w:color="auto"/>
            </w:tcBorders>
            <w:shd w:val="clear" w:color="auto" w:fill="CAEEFB"/>
          </w:tcPr>
          <w:p>
            <w:pPr>
              <w:jc w:val="right"/>
              <w:spacing w:after="0" w:line="155" w:lineRule="exact"/>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shd w:val="clear" w:color="auto" w:fill="CAEEFB"/>
          </w:tcPr>
          <w:p>
            <w:pPr>
              <w:spacing w:after="0"/>
              <w:rPr>
                <w:sz w:val="14"/>
                <w:szCs w:val="14"/>
                <w:color w:val="auto"/>
              </w:rPr>
            </w:pPr>
          </w:p>
        </w:tc>
        <w:tc>
          <w:tcPr>
            <w:tcW w:w="2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5464810</wp:posOffset>
            </wp:positionH>
            <wp:positionV relativeFrom="paragraph">
              <wp:posOffset>-3959860</wp:posOffset>
            </wp:positionV>
            <wp:extent cx="68580" cy="1117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-3959860</wp:posOffset>
            </wp:positionV>
            <wp:extent cx="68580" cy="1117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-3959860</wp:posOffset>
            </wp:positionV>
            <wp:extent cx="68580" cy="1117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11760"/>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321945</wp:posOffset>
            </wp:positionV>
            <wp:extent cx="71831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504" w:right="318"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Principa</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Spread Above</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10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w:t>
            </w:r>
          </w:p>
        </w:tc>
        <w:tc>
          <w:tcPr>
            <w:tcW w:w="1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2"/>
                <w:szCs w:val="12"/>
                <w:color w:val="auto"/>
              </w:rPr>
            </w:pPr>
          </w:p>
        </w:tc>
        <w:tc>
          <w:tcPr>
            <w:tcW w:w="6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 Net</w:t>
            </w:r>
          </w:p>
        </w:tc>
        <w:tc>
          <w:tcPr>
            <w:tcW w:w="0" w:type="dxa"/>
            <w:vAlign w:val="bottom"/>
          </w:tcPr>
          <w:p>
            <w:pPr>
              <w:spacing w:after="0"/>
              <w:rPr>
                <w:sz w:val="1"/>
                <w:szCs w:val="1"/>
                <w:color w:val="auto"/>
              </w:rPr>
            </w:pPr>
          </w:p>
        </w:tc>
      </w:tr>
      <w:tr>
        <w:trPr>
          <w:trHeight w:val="173"/>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00" w:type="dxa"/>
            <w:vAlign w:val="bottom"/>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Index (2)</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Value (3)</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33"/>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BayMark Health Services, Inc. (6) (15)</w:t>
            </w:r>
          </w:p>
        </w:tc>
        <w:tc>
          <w:tcPr>
            <w:tcW w:w="100" w:type="dxa"/>
            <w:vAlign w:val="bottom"/>
            <w:shd w:val="clear" w:color="auto" w:fill="CAEEFB"/>
          </w:tcPr>
          <w:p>
            <w:pPr>
              <w:spacing w:after="0"/>
              <w:rPr>
                <w:sz w:val="11"/>
                <w:szCs w:val="11"/>
                <w:color w:val="auto"/>
              </w:rPr>
            </w:pPr>
          </w:p>
        </w:tc>
        <w:tc>
          <w:tcPr>
            <w:tcW w:w="1760" w:type="dxa"/>
            <w:vAlign w:val="bottom"/>
            <w:shd w:val="clear" w:color="auto" w:fill="CAEEFB"/>
          </w:tcPr>
          <w:p>
            <w:pPr>
              <w:spacing w:after="0" w:line="133" w:lineRule="exact"/>
              <w:rPr>
                <w:sz w:val="20"/>
                <w:szCs w:val="20"/>
                <w:color w:val="auto"/>
              </w:rPr>
            </w:pPr>
            <w:r>
              <w:rPr>
                <w:rFonts w:ascii="Times New Roman" w:cs="Times New Roman" w:eastAsia="Times New Roman" w:hAnsi="Times New Roman"/>
                <w:sz w:val="14"/>
                <w:szCs w:val="14"/>
                <w:color w:val="auto"/>
              </w:rPr>
              <w:t>Outpatient Mental Health and</w:t>
            </w:r>
          </w:p>
        </w:tc>
        <w:tc>
          <w:tcPr>
            <w:tcW w:w="120" w:type="dxa"/>
            <w:vAlign w:val="bottom"/>
            <w:shd w:val="clear" w:color="auto" w:fill="CAEEFB"/>
          </w:tcPr>
          <w:p>
            <w:pPr>
              <w:spacing w:after="0"/>
              <w:rPr>
                <w:sz w:val="11"/>
                <w:szCs w:val="11"/>
                <w:color w:val="auto"/>
              </w:rPr>
            </w:pPr>
          </w:p>
        </w:tc>
        <w:tc>
          <w:tcPr>
            <w:tcW w:w="720" w:type="dxa"/>
            <w:vAlign w:val="bottom"/>
            <w:shd w:val="clear" w:color="auto" w:fill="CAEEFB"/>
          </w:tcPr>
          <w:p>
            <w:pPr>
              <w:spacing w:after="0"/>
              <w:rPr>
                <w:sz w:val="11"/>
                <w:szCs w:val="11"/>
                <w:color w:val="auto"/>
              </w:rPr>
            </w:pPr>
          </w:p>
        </w:tc>
        <w:tc>
          <w:tcPr>
            <w:tcW w:w="120" w:type="dxa"/>
            <w:vAlign w:val="bottom"/>
            <w:shd w:val="clear" w:color="auto" w:fill="CAEEFB"/>
          </w:tcPr>
          <w:p>
            <w:pPr>
              <w:spacing w:after="0"/>
              <w:rPr>
                <w:sz w:val="11"/>
                <w:szCs w:val="11"/>
                <w:color w:val="auto"/>
              </w:rPr>
            </w:pPr>
          </w:p>
        </w:tc>
        <w:tc>
          <w:tcPr>
            <w:tcW w:w="880" w:type="dxa"/>
            <w:vAlign w:val="bottom"/>
            <w:shd w:val="clear" w:color="auto" w:fill="CAEEFB"/>
          </w:tcPr>
          <w:p>
            <w:pPr>
              <w:spacing w:after="0"/>
              <w:rPr>
                <w:sz w:val="11"/>
                <w:szCs w:val="11"/>
                <w:color w:val="auto"/>
              </w:rPr>
            </w:pPr>
          </w:p>
        </w:tc>
        <w:tc>
          <w:tcPr>
            <w:tcW w:w="120" w:type="dxa"/>
            <w:vAlign w:val="bottom"/>
            <w:shd w:val="clear" w:color="auto" w:fill="CAEEFB"/>
          </w:tcPr>
          <w:p>
            <w:pPr>
              <w:spacing w:after="0"/>
              <w:rPr>
                <w:sz w:val="11"/>
                <w:szCs w:val="11"/>
                <w:color w:val="auto"/>
              </w:rPr>
            </w:pPr>
          </w:p>
        </w:tc>
        <w:tc>
          <w:tcPr>
            <w:tcW w:w="660" w:type="dxa"/>
            <w:vAlign w:val="bottom"/>
            <w:shd w:val="clear" w:color="auto" w:fill="CAEEFB"/>
          </w:tcPr>
          <w:p>
            <w:pPr>
              <w:spacing w:after="0"/>
              <w:rPr>
                <w:sz w:val="11"/>
                <w:szCs w:val="11"/>
                <w:color w:val="auto"/>
              </w:rPr>
            </w:pPr>
          </w:p>
        </w:tc>
        <w:tc>
          <w:tcPr>
            <w:tcW w:w="120" w:type="dxa"/>
            <w:vAlign w:val="bottom"/>
            <w:shd w:val="clear" w:color="auto" w:fill="CAEEFB"/>
          </w:tcPr>
          <w:p>
            <w:pPr>
              <w:spacing w:after="0"/>
              <w:rPr>
                <w:sz w:val="11"/>
                <w:szCs w:val="11"/>
                <w:color w:val="auto"/>
              </w:rPr>
            </w:pPr>
          </w:p>
        </w:tc>
        <w:tc>
          <w:tcPr>
            <w:tcW w:w="660" w:type="dxa"/>
            <w:vAlign w:val="bottom"/>
            <w:shd w:val="clear" w:color="auto" w:fill="CAEEFB"/>
          </w:tcPr>
          <w:p>
            <w:pPr>
              <w:spacing w:after="0"/>
              <w:rPr>
                <w:sz w:val="11"/>
                <w:szCs w:val="11"/>
                <w:color w:val="auto"/>
              </w:rPr>
            </w:pPr>
          </w:p>
        </w:tc>
        <w:tc>
          <w:tcPr>
            <w:tcW w:w="140" w:type="dxa"/>
            <w:vAlign w:val="bottom"/>
            <w:shd w:val="clear" w:color="auto" w:fill="CAEEFB"/>
          </w:tcPr>
          <w:p>
            <w:pPr>
              <w:spacing w:after="0"/>
              <w:rPr>
                <w:sz w:val="11"/>
                <w:szCs w:val="11"/>
                <w:color w:val="auto"/>
              </w:rPr>
            </w:pPr>
          </w:p>
        </w:tc>
        <w:tc>
          <w:tcPr>
            <w:tcW w:w="660" w:type="dxa"/>
            <w:vAlign w:val="bottom"/>
            <w:shd w:val="clear" w:color="auto" w:fill="CAEEFB"/>
          </w:tcPr>
          <w:p>
            <w:pPr>
              <w:spacing w:after="0"/>
              <w:rPr>
                <w:sz w:val="11"/>
                <w:szCs w:val="11"/>
                <w:color w:val="auto"/>
              </w:rPr>
            </w:pPr>
          </w:p>
        </w:tc>
        <w:tc>
          <w:tcPr>
            <w:tcW w:w="120" w:type="dxa"/>
            <w:vAlign w:val="bottom"/>
            <w:shd w:val="clear" w:color="auto" w:fill="CAEEFB"/>
          </w:tcPr>
          <w:p>
            <w:pPr>
              <w:spacing w:after="0"/>
              <w:rPr>
                <w:sz w:val="11"/>
                <w:szCs w:val="11"/>
                <w:color w:val="auto"/>
              </w:rPr>
            </w:pPr>
          </w:p>
        </w:tc>
        <w:tc>
          <w:tcPr>
            <w:tcW w:w="780" w:type="dxa"/>
            <w:vAlign w:val="bottom"/>
            <w:shd w:val="clear" w:color="auto" w:fill="CAEEFB"/>
          </w:tcPr>
          <w:p>
            <w:pPr>
              <w:spacing w:after="0"/>
              <w:rPr>
                <w:sz w:val="11"/>
                <w:szCs w:val="11"/>
                <w:color w:val="auto"/>
              </w:rPr>
            </w:pPr>
          </w:p>
        </w:tc>
        <w:tc>
          <w:tcPr>
            <w:tcW w:w="100" w:type="dxa"/>
            <w:vAlign w:val="bottom"/>
            <w:shd w:val="clear" w:color="auto" w:fill="CAEEFB"/>
          </w:tcPr>
          <w:p>
            <w:pPr>
              <w:spacing w:after="0"/>
              <w:rPr>
                <w:sz w:val="11"/>
                <w:szCs w:val="11"/>
                <w:color w:val="auto"/>
              </w:rPr>
            </w:pPr>
          </w:p>
        </w:tc>
        <w:tc>
          <w:tcPr>
            <w:tcW w:w="800" w:type="dxa"/>
            <w:vAlign w:val="bottom"/>
            <w:shd w:val="clear" w:color="auto" w:fill="CAEEFB"/>
          </w:tcPr>
          <w:p>
            <w:pPr>
              <w:spacing w:after="0"/>
              <w:rPr>
                <w:sz w:val="11"/>
                <w:szCs w:val="11"/>
                <w:color w:val="auto"/>
              </w:rPr>
            </w:pPr>
          </w:p>
        </w:tc>
        <w:tc>
          <w:tcPr>
            <w:tcW w:w="100" w:type="dxa"/>
            <w:vAlign w:val="bottom"/>
            <w:shd w:val="clear" w:color="auto" w:fill="CAEEFB"/>
          </w:tcPr>
          <w:p>
            <w:pPr>
              <w:spacing w:after="0"/>
              <w:rPr>
                <w:sz w:val="11"/>
                <w:szCs w:val="11"/>
                <w:color w:val="auto"/>
              </w:rPr>
            </w:pPr>
          </w:p>
        </w:tc>
        <w:tc>
          <w:tcPr>
            <w:tcW w:w="760" w:type="dxa"/>
            <w:vAlign w:val="bottom"/>
            <w:shd w:val="clear" w:color="auto" w:fill="CAEEFB"/>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Substance Abuse Centers</w:t>
            </w: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8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Second Lien Debt</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14.43%</w:t>
            </w:r>
          </w:p>
        </w:tc>
        <w:tc>
          <w:tcPr>
            <w:tcW w:w="120" w:type="dxa"/>
            <w:vAlign w:val="bottom"/>
          </w:tcPr>
          <w:p>
            <w:pPr>
              <w:spacing w:after="0"/>
              <w:rPr>
                <w:sz w:val="12"/>
                <w:szCs w:val="12"/>
                <w:color w:val="auto"/>
              </w:rPr>
            </w:pPr>
          </w:p>
        </w:tc>
        <w:tc>
          <w:tcPr>
            <w:tcW w:w="8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SOFR10.50</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6/10/2021</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6/11/2028</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4,962</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4,931</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248</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Second Lien Debt</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14.70%</w:t>
            </w: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jc w:val="center"/>
              <w:spacing w:after="0" w:line="139" w:lineRule="exact"/>
              <w:rPr>
                <w:sz w:val="20"/>
                <w:szCs w:val="20"/>
                <w:color w:val="auto"/>
              </w:rPr>
            </w:pPr>
            <w:r>
              <w:rPr>
                <w:rFonts w:ascii="Times New Roman" w:cs="Times New Roman" w:eastAsia="Times New Roman" w:hAnsi="Times New Roman"/>
                <w:sz w:val="14"/>
                <w:szCs w:val="14"/>
                <w:color w:val="auto"/>
              </w:rPr>
              <w:t>SOFR10.50</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6/10/2021</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6/11/2028</w:t>
            </w:r>
          </w:p>
        </w:tc>
        <w:tc>
          <w:tcPr>
            <w:tcW w:w="140" w:type="dxa"/>
            <w:vAlign w:val="bottom"/>
            <w:vMerge w:val="restart"/>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3,988</w:t>
            </w:r>
          </w:p>
        </w:tc>
        <w:tc>
          <w:tcPr>
            <w:tcW w:w="120" w:type="dxa"/>
            <w:vAlign w:val="bottom"/>
            <w:vMerge w:val="restart"/>
            <w:shd w:val="clear" w:color="auto" w:fill="CAEEFB"/>
          </w:tcPr>
          <w:p>
            <w:pPr>
              <w:spacing w:after="0"/>
              <w:rPr>
                <w:sz w:val="12"/>
                <w:szCs w:val="12"/>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3,961</w:t>
            </w:r>
          </w:p>
        </w:tc>
        <w:tc>
          <w:tcPr>
            <w:tcW w:w="100" w:type="dxa"/>
            <w:vAlign w:val="bottom"/>
            <w:vMerge w:val="restart"/>
            <w:shd w:val="clear" w:color="auto" w:fill="CAEEFB"/>
          </w:tcPr>
          <w:p>
            <w:pPr>
              <w:spacing w:after="0"/>
              <w:rPr>
                <w:sz w:val="12"/>
                <w:szCs w:val="12"/>
                <w:color w:val="auto"/>
              </w:rPr>
            </w:pPr>
          </w:p>
        </w:tc>
        <w:tc>
          <w:tcPr>
            <w:tcW w:w="80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vMerge w:val="restart"/>
            <w:shd w:val="clear" w:color="auto" w:fill="CAEEFB"/>
          </w:tcPr>
          <w:p>
            <w:pPr>
              <w:spacing w:after="0"/>
              <w:rPr>
                <w:sz w:val="12"/>
                <w:szCs w:val="12"/>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58"/>
        </w:trPr>
        <w:tc>
          <w:tcPr>
            <w:tcW w:w="2540" w:type="dxa"/>
            <w:vAlign w:val="bottom"/>
            <w:tcBorders>
              <w:bottom w:val="single" w:sz="8" w:color="CAEEFB"/>
            </w:tcBorders>
            <w:vMerge w:val="continue"/>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1760" w:type="dxa"/>
            <w:vAlign w:val="bottom"/>
            <w:tcBorders>
              <w:bottom w:val="single" w:sz="8" w:color="CAEEFB"/>
            </w:tcBorders>
            <w:shd w:val="clear" w:color="auto" w:fill="CAEEFB"/>
          </w:tcPr>
          <w:p>
            <w:pPr>
              <w:spacing w:after="0"/>
              <w:rPr>
                <w:sz w:val="13"/>
                <w:szCs w:val="13"/>
                <w:color w:val="auto"/>
              </w:rPr>
            </w:pPr>
          </w:p>
        </w:tc>
        <w:tc>
          <w:tcPr>
            <w:tcW w:w="840" w:type="dxa"/>
            <w:vAlign w:val="bottom"/>
            <w:tcBorders>
              <w:bottom w:val="single" w:sz="8" w:color="CAEEFB"/>
            </w:tcBorders>
            <w:gridSpan w:val="2"/>
            <w:vMerge w:val="continue"/>
            <w:shd w:val="clear" w:color="auto" w:fill="CAEEFB"/>
          </w:tcPr>
          <w:p>
            <w:pPr>
              <w:spacing w:after="0"/>
              <w:rPr>
                <w:sz w:val="13"/>
                <w:szCs w:val="13"/>
                <w:color w:val="auto"/>
              </w:rPr>
            </w:pPr>
          </w:p>
        </w:tc>
        <w:tc>
          <w:tcPr>
            <w:tcW w:w="1000" w:type="dxa"/>
            <w:vAlign w:val="bottom"/>
            <w:tcBorders>
              <w:bottom w:val="single" w:sz="8" w:color="CAEEFB"/>
            </w:tcBorders>
            <w:gridSpan w:val="2"/>
            <w:shd w:val="clear" w:color="auto" w:fill="CAEEFB"/>
          </w:tcPr>
          <w:p>
            <w:pPr>
              <w:ind w:left="460"/>
              <w:spacing w:after="0" w:line="158"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AEEFB"/>
            </w:tcBorders>
            <w:gridSpan w:val="2"/>
            <w:vMerge w:val="continue"/>
            <w:shd w:val="clear" w:color="auto" w:fill="CAEEFB"/>
          </w:tcPr>
          <w:p>
            <w:pPr>
              <w:spacing w:after="0"/>
              <w:rPr>
                <w:sz w:val="13"/>
                <w:szCs w:val="13"/>
                <w:color w:val="auto"/>
              </w:rPr>
            </w:pPr>
          </w:p>
        </w:tc>
        <w:tc>
          <w:tcPr>
            <w:tcW w:w="780" w:type="dxa"/>
            <w:vAlign w:val="bottom"/>
            <w:tcBorders>
              <w:bottom w:val="single" w:sz="8" w:color="CAEEFB"/>
            </w:tcBorders>
            <w:gridSpan w:val="2"/>
            <w:vMerge w:val="continue"/>
            <w:shd w:val="clear" w:color="auto" w:fill="CAEEFB"/>
          </w:tcPr>
          <w:p>
            <w:pPr>
              <w:spacing w:after="0"/>
              <w:rPr>
                <w:sz w:val="13"/>
                <w:szCs w:val="13"/>
                <w:color w:val="auto"/>
              </w:rPr>
            </w:pPr>
          </w:p>
        </w:tc>
        <w:tc>
          <w:tcPr>
            <w:tcW w:w="140" w:type="dxa"/>
            <w:vAlign w:val="bottom"/>
            <w:tcBorders>
              <w:bottom w:val="single" w:sz="8" w:color="CAEEFB"/>
            </w:tcBorders>
            <w:vMerge w:val="continue"/>
            <w:shd w:val="clear" w:color="auto" w:fill="CAEEFB"/>
          </w:tcPr>
          <w:p>
            <w:pPr>
              <w:spacing w:after="0"/>
              <w:rPr>
                <w:sz w:val="13"/>
                <w:szCs w:val="13"/>
                <w:color w:val="auto"/>
              </w:rPr>
            </w:pPr>
          </w:p>
        </w:tc>
        <w:tc>
          <w:tcPr>
            <w:tcW w:w="660" w:type="dxa"/>
            <w:vAlign w:val="bottom"/>
            <w:tcBorders>
              <w:bottom w:val="single" w:sz="8" w:color="auto"/>
            </w:tcBorders>
            <w:vMerge w:val="continue"/>
            <w:shd w:val="clear" w:color="auto" w:fill="CAEEFB"/>
          </w:tcPr>
          <w:p>
            <w:pPr>
              <w:spacing w:after="0"/>
              <w:rPr>
                <w:sz w:val="13"/>
                <w:szCs w:val="13"/>
                <w:color w:val="auto"/>
              </w:rPr>
            </w:pPr>
          </w:p>
        </w:tc>
        <w:tc>
          <w:tcPr>
            <w:tcW w:w="12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80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60" w:type="dxa"/>
            <w:vAlign w:val="bottom"/>
            <w:tcBorders>
              <w:bottom w:val="single" w:sz="8" w:color="auto"/>
            </w:tcBorders>
            <w:vMerge w:val="continue"/>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8,950</w:t>
            </w:r>
          </w:p>
        </w:tc>
        <w:tc>
          <w:tcPr>
            <w:tcW w:w="9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8,892</w:t>
            </w:r>
          </w:p>
        </w:tc>
        <w:tc>
          <w:tcPr>
            <w:tcW w:w="9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447</w:t>
            </w:r>
          </w:p>
        </w:tc>
        <w:tc>
          <w:tcPr>
            <w:tcW w:w="8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3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Boca Home Care Holdings, Inc. (19)</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line="139" w:lineRule="exact"/>
              <w:rPr>
                <w:sz w:val="20"/>
                <w:szCs w:val="20"/>
                <w:color w:val="auto"/>
              </w:rPr>
            </w:pPr>
            <w:r>
              <w:rPr>
                <w:rFonts w:ascii="Times New Roman" w:cs="Times New Roman" w:eastAsia="Times New Roman" w:hAnsi="Times New Roman"/>
                <w:sz w:val="14"/>
                <w:szCs w:val="14"/>
                <w:color w:val="auto"/>
              </w:rPr>
              <w:t>Services for the Elderly and</w:t>
            </w: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8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Persons with Disabilities</w:t>
            </w: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8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10.59%</w:t>
            </w:r>
          </w:p>
        </w:tc>
        <w:tc>
          <w:tcPr>
            <w:tcW w:w="120" w:type="dxa"/>
            <w:vAlign w:val="bottom"/>
          </w:tcPr>
          <w:p>
            <w:pPr>
              <w:spacing w:after="0"/>
              <w:rPr>
                <w:sz w:val="10"/>
                <w:szCs w:val="10"/>
                <w:color w:val="auto"/>
              </w:rPr>
            </w:pPr>
          </w:p>
        </w:tc>
        <w:tc>
          <w:tcPr>
            <w:tcW w:w="880" w:type="dxa"/>
            <w:vAlign w:val="bottom"/>
          </w:tcPr>
          <w:p>
            <w:pPr>
              <w:jc w:val="right"/>
              <w:ind w:right="38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2/25/2022</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2/25/2027</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9,018</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8,983</w:t>
            </w:r>
          </w:p>
        </w:tc>
        <w:tc>
          <w:tcPr>
            <w:tcW w:w="9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9,017</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+6.50%</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10.59%</w:t>
            </w: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2/25/2022</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2/25/2027</w:t>
            </w:r>
          </w:p>
        </w:tc>
        <w:tc>
          <w:tcPr>
            <w:tcW w:w="8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226</w:t>
            </w:r>
          </w:p>
        </w:tc>
        <w:tc>
          <w:tcPr>
            <w:tcW w:w="9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222</w:t>
            </w:r>
          </w:p>
        </w:tc>
        <w:tc>
          <w:tcPr>
            <w:tcW w:w="9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226</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84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ind w:left="460"/>
              <w:spacing w:after="0"/>
              <w:rPr>
                <w:sz w:val="20"/>
                <w:szCs w:val="20"/>
                <w:color w:val="auto"/>
              </w:rPr>
            </w:pPr>
            <w:r>
              <w:rPr>
                <w:rFonts w:ascii="Times New Roman" w:cs="Times New Roman" w:eastAsia="Times New Roman" w:hAnsi="Times New Roman"/>
                <w:sz w:val="14"/>
                <w:szCs w:val="14"/>
                <w:color w:val="auto"/>
              </w:rPr>
              <w:t>+6.50%</w:t>
            </w:r>
          </w:p>
        </w:tc>
        <w:tc>
          <w:tcPr>
            <w:tcW w:w="78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800" w:type="dxa"/>
            <w:vAlign w:val="bottom"/>
            <w:gridSpan w:val="2"/>
            <w:vMerge w:val="continue"/>
            <w:shd w:val="clear" w:color="auto" w:fill="CAEEFB"/>
          </w:tcPr>
          <w:p>
            <w:pPr>
              <w:spacing w:after="0"/>
              <w:rPr>
                <w:sz w:val="14"/>
                <w:szCs w:val="14"/>
                <w:color w:val="auto"/>
              </w:rPr>
            </w:pPr>
          </w:p>
        </w:tc>
        <w:tc>
          <w:tcPr>
            <w:tcW w:w="900" w:type="dxa"/>
            <w:vAlign w:val="bottom"/>
            <w:gridSpan w:val="2"/>
            <w:vMerge w:val="continue"/>
            <w:shd w:val="clear" w:color="auto" w:fill="CAEEFB"/>
          </w:tcPr>
          <w:p>
            <w:pPr>
              <w:spacing w:after="0"/>
              <w:rPr>
                <w:sz w:val="14"/>
                <w:szCs w:val="14"/>
                <w:color w:val="auto"/>
              </w:rPr>
            </w:pPr>
          </w:p>
        </w:tc>
        <w:tc>
          <w:tcPr>
            <w:tcW w:w="90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Common Equity (1,290 Class A units) (10)</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2/25/2022</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1,290</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768</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shd w:val="clear" w:color="auto" w:fill="CAEEFB"/>
          </w:tcPr>
          <w:p>
            <w:pPr>
              <w:spacing w:after="0" w:line="139" w:lineRule="exact"/>
              <w:rPr>
                <w:sz w:val="20"/>
                <w:szCs w:val="20"/>
                <w:color w:val="auto"/>
              </w:rPr>
            </w:pPr>
            <w:r>
              <w:rPr>
                <w:rFonts w:ascii="Times New Roman" w:cs="Times New Roman" w:eastAsia="Times New Roman" w:hAnsi="Times New Roman"/>
                <w:sz w:val="14"/>
                <w:szCs w:val="14"/>
                <w:color w:val="auto"/>
              </w:rPr>
              <w:t>Preferred Equity (3,446 Class A Units),</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3/3/2023</w:t>
            </w: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vMerge w:val="restart"/>
            <w:shd w:val="clear" w:color="auto" w:fill="CAEEFB"/>
          </w:tcPr>
          <w:p>
            <w:pPr>
              <w:spacing w:after="0"/>
              <w:rPr>
                <w:sz w:val="12"/>
                <w:szCs w:val="12"/>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vMerge w:val="restart"/>
            <w:shd w:val="clear" w:color="auto" w:fill="CAEEFB"/>
          </w:tcPr>
          <w:p>
            <w:pPr>
              <w:spacing w:after="0"/>
              <w:rPr>
                <w:sz w:val="12"/>
                <w:szCs w:val="12"/>
                <w:color w:val="auto"/>
              </w:rPr>
            </w:pPr>
          </w:p>
        </w:tc>
        <w:tc>
          <w:tcPr>
            <w:tcW w:w="80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vMerge w:val="restart"/>
            <w:shd w:val="clear" w:color="auto" w:fill="CAEEFB"/>
          </w:tcPr>
          <w:p>
            <w:pPr>
              <w:spacing w:after="0"/>
              <w:rPr>
                <w:sz w:val="12"/>
                <w:szCs w:val="12"/>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158"/>
        </w:trPr>
        <w:tc>
          <w:tcPr>
            <w:tcW w:w="2540" w:type="dxa"/>
            <w:vAlign w:val="bottom"/>
            <w:tcBorders>
              <w:bottom w:val="single" w:sz="8" w:color="CAEEFB"/>
            </w:tcBorders>
            <w:shd w:val="clear" w:color="auto" w:fill="CAEEFB"/>
          </w:tcPr>
          <w:p>
            <w:pPr>
              <w:spacing w:after="0" w:line="158" w:lineRule="exact"/>
              <w:rPr>
                <w:sz w:val="20"/>
                <w:szCs w:val="20"/>
                <w:color w:val="auto"/>
              </w:rPr>
            </w:pPr>
            <w:r>
              <w:rPr>
                <w:rFonts w:ascii="Times New Roman" w:cs="Times New Roman" w:eastAsia="Times New Roman" w:hAnsi="Times New Roman"/>
                <w:sz w:val="14"/>
                <w:szCs w:val="14"/>
                <w:color w:val="auto"/>
              </w:rPr>
              <w:t>12% cash / 2.0% PIK</w:t>
            </w:r>
          </w:p>
        </w:tc>
        <w:tc>
          <w:tcPr>
            <w:tcW w:w="100" w:type="dxa"/>
            <w:vAlign w:val="bottom"/>
            <w:tcBorders>
              <w:bottom w:val="single" w:sz="8" w:color="CAEEFB"/>
            </w:tcBorders>
            <w:shd w:val="clear" w:color="auto" w:fill="CAEEFB"/>
          </w:tcPr>
          <w:p>
            <w:pPr>
              <w:spacing w:after="0"/>
              <w:rPr>
                <w:sz w:val="13"/>
                <w:szCs w:val="13"/>
                <w:color w:val="auto"/>
              </w:rPr>
            </w:pPr>
          </w:p>
        </w:tc>
        <w:tc>
          <w:tcPr>
            <w:tcW w:w="1760" w:type="dxa"/>
            <w:vAlign w:val="bottom"/>
            <w:tcBorders>
              <w:bottom w:val="single" w:sz="8" w:color="CAEEFB"/>
            </w:tcBorders>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720" w:type="dxa"/>
            <w:vAlign w:val="bottom"/>
            <w:tcBorders>
              <w:bottom w:val="single" w:sz="8" w:color="CAEEFB"/>
            </w:tcBorders>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880" w:type="dxa"/>
            <w:vAlign w:val="bottom"/>
            <w:tcBorders>
              <w:bottom w:val="single" w:sz="8" w:color="CAEEFB"/>
            </w:tcBorders>
            <w:shd w:val="clear" w:color="auto" w:fill="CAEEFB"/>
          </w:tcPr>
          <w:p>
            <w:pPr>
              <w:spacing w:after="0"/>
              <w:rPr>
                <w:sz w:val="13"/>
                <w:szCs w:val="13"/>
                <w:color w:val="auto"/>
              </w:rPr>
            </w:pPr>
          </w:p>
        </w:tc>
        <w:tc>
          <w:tcPr>
            <w:tcW w:w="780" w:type="dxa"/>
            <w:vAlign w:val="bottom"/>
            <w:tcBorders>
              <w:bottom w:val="single" w:sz="8" w:color="CAEEFB"/>
            </w:tcBorders>
            <w:gridSpan w:val="2"/>
            <w:vMerge w:val="continue"/>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660" w:type="dxa"/>
            <w:vAlign w:val="bottom"/>
            <w:tcBorders>
              <w:bottom w:val="single" w:sz="8" w:color="CAEEFB"/>
            </w:tcBorders>
            <w:shd w:val="clear" w:color="auto" w:fill="CAEEFB"/>
          </w:tcPr>
          <w:p>
            <w:pPr>
              <w:spacing w:after="0"/>
              <w:rPr>
                <w:sz w:val="13"/>
                <w:szCs w:val="13"/>
                <w:color w:val="auto"/>
              </w:rPr>
            </w:pPr>
          </w:p>
        </w:tc>
        <w:tc>
          <w:tcPr>
            <w:tcW w:w="140" w:type="dxa"/>
            <w:vAlign w:val="bottom"/>
            <w:tcBorders>
              <w:bottom w:val="single" w:sz="8" w:color="CAEEFB"/>
            </w:tcBorders>
            <w:shd w:val="clear" w:color="auto" w:fill="CAEEFB"/>
          </w:tcPr>
          <w:p>
            <w:pPr>
              <w:spacing w:after="0"/>
              <w:rPr>
                <w:sz w:val="13"/>
                <w:szCs w:val="13"/>
                <w:color w:val="auto"/>
              </w:rPr>
            </w:pPr>
          </w:p>
        </w:tc>
        <w:tc>
          <w:tcPr>
            <w:tcW w:w="660" w:type="dxa"/>
            <w:vAlign w:val="bottom"/>
            <w:tcBorders>
              <w:bottom w:val="single" w:sz="8" w:color="auto"/>
            </w:tcBorders>
            <w:shd w:val="clear" w:color="auto" w:fill="CAEEFB"/>
          </w:tcPr>
          <w:p>
            <w:pPr>
              <w:spacing w:after="0"/>
              <w:rPr>
                <w:sz w:val="13"/>
                <w:szCs w:val="13"/>
                <w:color w:val="auto"/>
              </w:rPr>
            </w:pPr>
          </w:p>
        </w:tc>
        <w:tc>
          <w:tcPr>
            <w:tcW w:w="12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80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60" w:type="dxa"/>
            <w:vAlign w:val="bottom"/>
            <w:tcBorders>
              <w:bottom w:val="single" w:sz="8" w:color="auto"/>
            </w:tcBorders>
            <w:vMerge w:val="continue"/>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9,244</w:t>
            </w:r>
          </w:p>
        </w:tc>
        <w:tc>
          <w:tcPr>
            <w:tcW w:w="9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10,840</w:t>
            </w:r>
          </w:p>
        </w:tc>
        <w:tc>
          <w:tcPr>
            <w:tcW w:w="90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10,374</w:t>
            </w:r>
          </w:p>
        </w:tc>
        <w:tc>
          <w:tcPr>
            <w:tcW w:w="8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8.4 %</w:t>
            </w:r>
          </w:p>
        </w:tc>
        <w:tc>
          <w:tcPr>
            <w:tcW w:w="0" w:type="dxa"/>
            <w:vAlign w:val="bottom"/>
          </w:tcPr>
          <w:p>
            <w:pPr>
              <w:spacing w:after="0"/>
              <w:rPr>
                <w:sz w:val="1"/>
                <w:szCs w:val="1"/>
                <w:color w:val="auto"/>
              </w:rPr>
            </w:pPr>
          </w:p>
        </w:tc>
      </w:tr>
      <w:tr>
        <w:trPr>
          <w:trHeight w:val="13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Clevertech Bidco, LLC</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line="139" w:lineRule="exact"/>
              <w:rPr>
                <w:sz w:val="20"/>
                <w:szCs w:val="20"/>
                <w:color w:val="auto"/>
              </w:rPr>
            </w:pPr>
            <w:r>
              <w:rPr>
                <w:rFonts w:ascii="Times New Roman" w:cs="Times New Roman" w:eastAsia="Times New Roman" w:hAnsi="Times New Roman"/>
                <w:sz w:val="14"/>
                <w:szCs w:val="14"/>
                <w:color w:val="auto"/>
              </w:rPr>
              <w:t>Commodity Contracts</w:t>
            </w: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8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Dealing</w:t>
            </w: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8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10.57%</w:t>
            </w:r>
          </w:p>
        </w:tc>
        <w:tc>
          <w:tcPr>
            <w:tcW w:w="120" w:type="dxa"/>
            <w:vAlign w:val="bottom"/>
          </w:tcPr>
          <w:p>
            <w:pPr>
              <w:spacing w:after="0"/>
              <w:rPr>
                <w:sz w:val="12"/>
                <w:szCs w:val="12"/>
                <w:color w:val="auto"/>
              </w:rPr>
            </w:pPr>
          </w:p>
        </w:tc>
        <w:tc>
          <w:tcPr>
            <w:tcW w:w="88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11/3/2023</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12/30/2027</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3,133</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3,086</w:t>
            </w:r>
          </w:p>
        </w:tc>
        <w:tc>
          <w:tcPr>
            <w:tcW w:w="9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2,971</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+6.75%</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10.57%</w:t>
            </w: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11/3/2023</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12/30/2027</w:t>
            </w:r>
          </w:p>
        </w:tc>
        <w:tc>
          <w:tcPr>
            <w:tcW w:w="140" w:type="dxa"/>
            <w:vAlign w:val="bottom"/>
            <w:vMerge w:val="restart"/>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vMerge w:val="restart"/>
            <w:shd w:val="clear" w:color="auto" w:fill="CAEEFB"/>
          </w:tcPr>
          <w:p>
            <w:pPr>
              <w:spacing w:after="0"/>
              <w:rPr>
                <w:sz w:val="12"/>
                <w:szCs w:val="12"/>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vMerge w:val="restart"/>
            <w:shd w:val="clear" w:color="auto" w:fill="CAEEFB"/>
          </w:tcPr>
          <w:p>
            <w:pPr>
              <w:spacing w:after="0"/>
              <w:rPr>
                <w:sz w:val="12"/>
                <w:szCs w:val="12"/>
                <w:color w:val="auto"/>
              </w:rPr>
            </w:pPr>
          </w:p>
        </w:tc>
        <w:tc>
          <w:tcPr>
            <w:tcW w:w="80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vMerge w:val="restart"/>
            <w:shd w:val="clear" w:color="auto" w:fill="CAEEFB"/>
          </w:tcPr>
          <w:p>
            <w:pPr>
              <w:spacing w:after="0"/>
              <w:rPr>
                <w:sz w:val="12"/>
                <w:szCs w:val="12"/>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58"/>
        </w:trPr>
        <w:tc>
          <w:tcPr>
            <w:tcW w:w="2540" w:type="dxa"/>
            <w:vAlign w:val="bottom"/>
            <w:tcBorders>
              <w:bottom w:val="single" w:sz="8" w:color="CAEEFB"/>
            </w:tcBorders>
            <w:vMerge w:val="continue"/>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1760" w:type="dxa"/>
            <w:vAlign w:val="bottom"/>
            <w:tcBorders>
              <w:bottom w:val="single" w:sz="8" w:color="CAEEFB"/>
            </w:tcBorders>
            <w:shd w:val="clear" w:color="auto" w:fill="CAEEFB"/>
          </w:tcPr>
          <w:p>
            <w:pPr>
              <w:spacing w:after="0"/>
              <w:rPr>
                <w:sz w:val="13"/>
                <w:szCs w:val="13"/>
                <w:color w:val="auto"/>
              </w:rPr>
            </w:pPr>
          </w:p>
        </w:tc>
        <w:tc>
          <w:tcPr>
            <w:tcW w:w="840" w:type="dxa"/>
            <w:vAlign w:val="bottom"/>
            <w:tcBorders>
              <w:bottom w:val="single" w:sz="8" w:color="CAEEFB"/>
            </w:tcBorders>
            <w:gridSpan w:val="2"/>
            <w:vMerge w:val="continue"/>
            <w:shd w:val="clear" w:color="auto" w:fill="CAEEFB"/>
          </w:tcPr>
          <w:p>
            <w:pPr>
              <w:spacing w:after="0"/>
              <w:rPr>
                <w:sz w:val="13"/>
                <w:szCs w:val="13"/>
                <w:color w:val="auto"/>
              </w:rPr>
            </w:pPr>
          </w:p>
        </w:tc>
        <w:tc>
          <w:tcPr>
            <w:tcW w:w="1000" w:type="dxa"/>
            <w:vAlign w:val="bottom"/>
            <w:tcBorders>
              <w:bottom w:val="single" w:sz="8" w:color="CAEEFB"/>
            </w:tcBorders>
            <w:gridSpan w:val="2"/>
            <w:shd w:val="clear" w:color="auto" w:fill="CAEEFB"/>
          </w:tcPr>
          <w:p>
            <w:pPr>
              <w:ind w:left="460"/>
              <w:spacing w:after="0" w:line="158" w:lineRule="exact"/>
              <w:rPr>
                <w:sz w:val="20"/>
                <w:szCs w:val="20"/>
                <w:color w:val="auto"/>
              </w:rPr>
            </w:pPr>
            <w:r>
              <w:rPr>
                <w:rFonts w:ascii="Times New Roman" w:cs="Times New Roman" w:eastAsia="Times New Roman" w:hAnsi="Times New Roman"/>
                <w:sz w:val="14"/>
                <w:szCs w:val="14"/>
                <w:color w:val="auto"/>
              </w:rPr>
              <w:t>+6.75%</w:t>
            </w:r>
          </w:p>
        </w:tc>
        <w:tc>
          <w:tcPr>
            <w:tcW w:w="780" w:type="dxa"/>
            <w:vAlign w:val="bottom"/>
            <w:tcBorders>
              <w:bottom w:val="single" w:sz="8" w:color="CAEEFB"/>
            </w:tcBorders>
            <w:gridSpan w:val="2"/>
            <w:vMerge w:val="continue"/>
            <w:shd w:val="clear" w:color="auto" w:fill="CAEEFB"/>
          </w:tcPr>
          <w:p>
            <w:pPr>
              <w:spacing w:after="0"/>
              <w:rPr>
                <w:sz w:val="13"/>
                <w:szCs w:val="13"/>
                <w:color w:val="auto"/>
              </w:rPr>
            </w:pPr>
          </w:p>
        </w:tc>
        <w:tc>
          <w:tcPr>
            <w:tcW w:w="780" w:type="dxa"/>
            <w:vAlign w:val="bottom"/>
            <w:tcBorders>
              <w:bottom w:val="single" w:sz="8" w:color="CAEEFB"/>
            </w:tcBorders>
            <w:gridSpan w:val="2"/>
            <w:vMerge w:val="continue"/>
            <w:shd w:val="clear" w:color="auto" w:fill="CAEEFB"/>
          </w:tcPr>
          <w:p>
            <w:pPr>
              <w:spacing w:after="0"/>
              <w:rPr>
                <w:sz w:val="13"/>
                <w:szCs w:val="13"/>
                <w:color w:val="auto"/>
              </w:rPr>
            </w:pPr>
          </w:p>
        </w:tc>
        <w:tc>
          <w:tcPr>
            <w:tcW w:w="140" w:type="dxa"/>
            <w:vAlign w:val="bottom"/>
            <w:tcBorders>
              <w:bottom w:val="single" w:sz="8" w:color="CAEEFB"/>
            </w:tcBorders>
            <w:vMerge w:val="continue"/>
            <w:shd w:val="clear" w:color="auto" w:fill="CAEEFB"/>
          </w:tcPr>
          <w:p>
            <w:pPr>
              <w:spacing w:after="0"/>
              <w:rPr>
                <w:sz w:val="13"/>
                <w:szCs w:val="13"/>
                <w:color w:val="auto"/>
              </w:rPr>
            </w:pPr>
          </w:p>
        </w:tc>
        <w:tc>
          <w:tcPr>
            <w:tcW w:w="660" w:type="dxa"/>
            <w:vAlign w:val="bottom"/>
            <w:tcBorders>
              <w:bottom w:val="single" w:sz="8" w:color="auto"/>
            </w:tcBorders>
            <w:vMerge w:val="continue"/>
            <w:shd w:val="clear" w:color="auto" w:fill="CAEEFB"/>
          </w:tcPr>
          <w:p>
            <w:pPr>
              <w:spacing w:after="0"/>
              <w:rPr>
                <w:sz w:val="13"/>
                <w:szCs w:val="13"/>
                <w:color w:val="auto"/>
              </w:rPr>
            </w:pPr>
          </w:p>
        </w:tc>
        <w:tc>
          <w:tcPr>
            <w:tcW w:w="12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80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60" w:type="dxa"/>
            <w:vAlign w:val="bottom"/>
            <w:tcBorders>
              <w:bottom w:val="single" w:sz="8" w:color="auto"/>
            </w:tcBorders>
            <w:vMerge w:val="continue"/>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3,245</w:t>
            </w:r>
          </w:p>
        </w:tc>
        <w:tc>
          <w:tcPr>
            <w:tcW w:w="9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3,193</w:t>
            </w:r>
          </w:p>
        </w:tc>
        <w:tc>
          <w:tcPr>
            <w:tcW w:w="90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3,067</w:t>
            </w:r>
          </w:p>
        </w:tc>
        <w:tc>
          <w:tcPr>
            <w:tcW w:w="8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13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Constellis Holdings, LLC (10)</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line="139" w:lineRule="exact"/>
              <w:rPr>
                <w:sz w:val="20"/>
                <w:szCs w:val="20"/>
                <w:color w:val="auto"/>
              </w:rPr>
            </w:pPr>
            <w:r>
              <w:rPr>
                <w:rFonts w:ascii="Times New Roman" w:cs="Times New Roman" w:eastAsia="Times New Roman" w:hAnsi="Times New Roman"/>
                <w:sz w:val="14"/>
                <w:szCs w:val="14"/>
                <w:color w:val="auto"/>
              </w:rPr>
              <w:t>Other Justice, Public Order,</w:t>
            </w: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8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and Safety Activities</w:t>
            </w: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8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Common Equity (20,628 common shares)</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3/27/2020</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703</w:t>
            </w: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8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540" w:type="dxa"/>
            <w:vAlign w:val="bottom"/>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Envocore Holding, LLC (F/K/A LRI</w:t>
            </w:r>
          </w:p>
        </w:tc>
        <w:tc>
          <w:tcPr>
            <w:tcW w:w="100" w:type="dxa"/>
            <w:vAlign w:val="bottom"/>
          </w:tcPr>
          <w:p>
            <w:pPr>
              <w:spacing w:after="0"/>
              <w:rPr>
                <w:sz w:val="11"/>
                <w:szCs w:val="11"/>
                <w:color w:val="auto"/>
              </w:rPr>
            </w:pPr>
          </w:p>
        </w:tc>
        <w:tc>
          <w:tcPr>
            <w:tcW w:w="176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Electrical Contractors and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Holding,</w:t>
            </w:r>
          </w:p>
        </w:tc>
        <w:tc>
          <w:tcPr>
            <w:tcW w:w="100" w:type="dxa"/>
            <w:vAlign w:val="bottom"/>
          </w:tcPr>
          <w:p>
            <w:pPr>
              <w:spacing w:after="0"/>
              <w:rPr>
                <w:sz w:val="12"/>
                <w:szCs w:val="12"/>
                <w:color w:val="auto"/>
              </w:rPr>
            </w:pPr>
          </w:p>
        </w:tc>
        <w:tc>
          <w:tcPr>
            <w:tcW w:w="1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Wiring Installation</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LLC) (17)</w:t>
            </w:r>
          </w:p>
        </w:tc>
        <w:tc>
          <w:tcPr>
            <w:tcW w:w="100" w:type="dxa"/>
            <w:vAlign w:val="bottom"/>
          </w:tcPr>
          <w:p>
            <w:pPr>
              <w:spacing w:after="0"/>
              <w:rPr>
                <w:sz w:val="15"/>
                <w:szCs w:val="15"/>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Contractors</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840" w:type="dxa"/>
            <w:vAlign w:val="bottom"/>
            <w:gridSpan w:val="2"/>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7.50%</w:t>
            </w: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gridSpan w:val="2"/>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6/30/2017</w:t>
            </w:r>
          </w:p>
        </w:tc>
        <w:tc>
          <w:tcPr>
            <w:tcW w:w="780" w:type="dxa"/>
            <w:vAlign w:val="bottom"/>
            <w:gridSpan w:val="2"/>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12/31/2027</w:t>
            </w:r>
          </w:p>
        </w:tc>
        <w:tc>
          <w:tcPr>
            <w:tcW w:w="800" w:type="dxa"/>
            <w:vAlign w:val="bottom"/>
            <w:gridSpan w:val="2"/>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6,167</w:t>
            </w:r>
          </w:p>
        </w:tc>
        <w:tc>
          <w:tcPr>
            <w:tcW w:w="900" w:type="dxa"/>
            <w:vAlign w:val="bottom"/>
            <w:gridSpan w:val="2"/>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6,167</w:t>
            </w:r>
          </w:p>
        </w:tc>
        <w:tc>
          <w:tcPr>
            <w:tcW w:w="900" w:type="dxa"/>
            <w:vAlign w:val="bottom"/>
            <w:gridSpan w:val="2"/>
            <w:shd w:val="clear" w:color="auto" w:fill="CAEEFB"/>
          </w:tcPr>
          <w:p>
            <w:pPr>
              <w:jc w:val="right"/>
              <w:ind w:right="68"/>
              <w:spacing w:after="0"/>
              <w:rPr>
                <w:sz w:val="20"/>
                <w:szCs w:val="20"/>
                <w:color w:val="auto"/>
              </w:rPr>
            </w:pPr>
            <w:r>
              <w:rPr>
                <w:rFonts w:ascii="Times New Roman" w:cs="Times New Roman" w:eastAsia="Times New Roman" w:hAnsi="Times New Roman"/>
                <w:sz w:val="14"/>
                <w:szCs w:val="14"/>
                <w:color w:val="auto"/>
              </w:rPr>
              <w:t>6,167</w:t>
            </w:r>
          </w:p>
        </w:tc>
        <w:tc>
          <w:tcPr>
            <w:tcW w:w="86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Second Lien Debt (6) (10)</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tcPr>
          <w:p>
            <w:pPr>
              <w:jc w:val="center"/>
              <w:ind w:left="28"/>
              <w:spacing w:after="0" w:line="139" w:lineRule="exact"/>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2"/>
                <w:szCs w:val="12"/>
                <w:color w:val="auto"/>
              </w:rPr>
            </w:pPr>
          </w:p>
        </w:tc>
        <w:tc>
          <w:tcPr>
            <w:tcW w:w="88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6/30/2017</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12/31/2028</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9,590</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6,584</w:t>
            </w:r>
          </w:p>
        </w:tc>
        <w:tc>
          <w:tcPr>
            <w:tcW w:w="9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2,382</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PIK</w:t>
            </w: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jc w:val="center"/>
              <w:spacing w:after="0"/>
              <w:rPr>
                <w:sz w:val="20"/>
                <w:szCs w:val="20"/>
                <w:color w:val="auto"/>
              </w:rPr>
            </w:pPr>
            <w:r>
              <w:rPr>
                <w:rFonts w:ascii="Times New Roman" w:cs="Times New Roman" w:eastAsia="Times New Roman" w:hAnsi="Times New Roman"/>
                <w:sz w:val="14"/>
                <w:szCs w:val="14"/>
                <w:color w:val="auto"/>
              </w:rPr>
              <w:t>n/m (18)</w:t>
            </w: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gridSpan w:val="2"/>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11/29/2021</w:t>
            </w:r>
          </w:p>
        </w:tc>
        <w:tc>
          <w:tcPr>
            <w:tcW w:w="780" w:type="dxa"/>
            <w:vAlign w:val="bottom"/>
            <w:gridSpan w:val="2"/>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12/31/2027</w:t>
            </w: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AEEFB"/>
          </w:tcPr>
          <w:p>
            <w:pPr>
              <w:spacing w:after="0"/>
              <w:rPr>
                <w:sz w:val="14"/>
                <w:szCs w:val="14"/>
                <w:color w:val="auto"/>
              </w:rPr>
            </w:pPr>
          </w:p>
        </w:tc>
        <w:tc>
          <w:tcPr>
            <w:tcW w:w="78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AEEFB"/>
          </w:tcPr>
          <w:p>
            <w:pPr>
              <w:spacing w:after="0"/>
              <w:rPr>
                <w:sz w:val="14"/>
                <w:szCs w:val="14"/>
                <w:color w:val="auto"/>
              </w:rPr>
            </w:pPr>
          </w:p>
        </w:tc>
        <w:tc>
          <w:tcPr>
            <w:tcW w:w="80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Equity Participation Rights (7) (10)</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12/31/2021</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4,722</w:t>
            </w:r>
          </w:p>
        </w:tc>
        <w:tc>
          <w:tcPr>
            <w:tcW w:w="1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5"/>
        </w:trPr>
        <w:tc>
          <w:tcPr>
            <w:tcW w:w="254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17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72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88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40" w:type="dxa"/>
            <w:vAlign w:val="bottom"/>
            <w:shd w:val="clear" w:color="auto" w:fill="CAEEFB"/>
          </w:tcPr>
          <w:p>
            <w:pPr>
              <w:spacing w:after="0"/>
              <w:rPr>
                <w:sz w:val="13"/>
                <w:szCs w:val="13"/>
                <w:color w:val="auto"/>
              </w:rPr>
            </w:pPr>
          </w:p>
        </w:tc>
        <w:tc>
          <w:tcPr>
            <w:tcW w:w="660" w:type="dxa"/>
            <w:vAlign w:val="bottom"/>
            <w:tcBorders>
              <w:top w:val="single" w:sz="8" w:color="auto"/>
            </w:tcBorders>
            <w:shd w:val="clear" w:color="auto" w:fill="CAEEFB"/>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15,757</w:t>
            </w:r>
          </w:p>
        </w:tc>
        <w:tc>
          <w:tcPr>
            <w:tcW w:w="120" w:type="dxa"/>
            <w:vAlign w:val="bottom"/>
            <w:shd w:val="clear" w:color="auto" w:fill="CAEEFB"/>
          </w:tcPr>
          <w:p>
            <w:pPr>
              <w:spacing w:after="0"/>
              <w:rPr>
                <w:sz w:val="13"/>
                <w:szCs w:val="13"/>
                <w:color w:val="auto"/>
              </w:rPr>
            </w:pPr>
          </w:p>
        </w:tc>
        <w:tc>
          <w:tcPr>
            <w:tcW w:w="780" w:type="dxa"/>
            <w:vAlign w:val="bottom"/>
            <w:tcBorders>
              <w:top w:val="single" w:sz="8" w:color="auto"/>
            </w:tcBorders>
            <w:shd w:val="clear" w:color="auto" w:fill="CAEEFB"/>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17,473</w:t>
            </w:r>
          </w:p>
        </w:tc>
        <w:tc>
          <w:tcPr>
            <w:tcW w:w="100" w:type="dxa"/>
            <w:vAlign w:val="bottom"/>
            <w:shd w:val="clear" w:color="auto" w:fill="CAEEFB"/>
          </w:tcPr>
          <w:p>
            <w:pPr>
              <w:spacing w:after="0"/>
              <w:rPr>
                <w:sz w:val="13"/>
                <w:szCs w:val="13"/>
                <w:color w:val="auto"/>
              </w:rPr>
            </w:pPr>
          </w:p>
        </w:tc>
        <w:tc>
          <w:tcPr>
            <w:tcW w:w="800" w:type="dxa"/>
            <w:vAlign w:val="bottom"/>
            <w:tcBorders>
              <w:top w:val="single" w:sz="8" w:color="auto"/>
            </w:tcBorders>
            <w:shd w:val="clear" w:color="auto" w:fill="CAEEFB"/>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8,549</w:t>
            </w:r>
          </w:p>
        </w:tc>
        <w:tc>
          <w:tcPr>
            <w:tcW w:w="100" w:type="dxa"/>
            <w:vAlign w:val="bottom"/>
            <w:shd w:val="clear" w:color="auto" w:fill="CAEEFB"/>
          </w:tcPr>
          <w:p>
            <w:pPr>
              <w:spacing w:after="0"/>
              <w:rPr>
                <w:sz w:val="13"/>
                <w:szCs w:val="13"/>
                <w:color w:val="auto"/>
              </w:rPr>
            </w:pPr>
          </w:p>
        </w:tc>
        <w:tc>
          <w:tcPr>
            <w:tcW w:w="760" w:type="dxa"/>
            <w:vAlign w:val="bottom"/>
            <w:tcBorders>
              <w:top w:val="single" w:sz="8" w:color="auto"/>
            </w:tcBorders>
            <w:shd w:val="clear" w:color="auto" w:fill="CAEEFB"/>
          </w:tcPr>
          <w:p>
            <w:pPr>
              <w:jc w:val="right"/>
              <w:spacing w:after="0" w:line="155" w:lineRule="exact"/>
              <w:rPr>
                <w:sz w:val="20"/>
                <w:szCs w:val="20"/>
                <w:color w:val="auto"/>
              </w:rPr>
            </w:pPr>
            <w:r>
              <w:rPr>
                <w:rFonts w:ascii="Times New Roman" w:cs="Times New Roman" w:eastAsia="Times New Roman" w:hAnsi="Times New Roman"/>
                <w:sz w:val="14"/>
                <w:szCs w:val="14"/>
                <w:color w:val="auto"/>
              </w:rPr>
              <w:t>6.9 %</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Excelin Home Health, LLC (6)</w:t>
            </w:r>
          </w:p>
        </w:tc>
        <w:tc>
          <w:tcPr>
            <w:tcW w:w="1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Home Health Care Services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Second Lien Debt</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shd w:val="clear" w:color="auto" w:fill="CAEEFB"/>
          </w:tcPr>
          <w:p>
            <w:pPr>
              <w:jc w:val="center"/>
              <w:ind w:left="28"/>
              <w:spacing w:after="0" w:line="139" w:lineRule="exact"/>
              <w:rPr>
                <w:sz w:val="20"/>
                <w:szCs w:val="20"/>
                <w:color w:val="auto"/>
              </w:rPr>
            </w:pPr>
            <w:r>
              <w:rPr>
                <w:rFonts w:ascii="Times New Roman" w:cs="Times New Roman" w:eastAsia="Times New Roman" w:hAnsi="Times New Roman"/>
                <w:sz w:val="14"/>
                <w:szCs w:val="14"/>
                <w:color w:val="auto"/>
              </w:rPr>
              <w:t>18.00%</w:t>
            </w:r>
          </w:p>
        </w:tc>
        <w:tc>
          <w:tcPr>
            <w:tcW w:w="120" w:type="dxa"/>
            <w:vAlign w:val="bottom"/>
            <w:shd w:val="clear" w:color="auto" w:fill="CAEEFB"/>
          </w:tcPr>
          <w:p>
            <w:pPr>
              <w:spacing w:after="0"/>
              <w:rPr>
                <w:sz w:val="12"/>
                <w:szCs w:val="12"/>
                <w:color w:val="auto"/>
              </w:rPr>
            </w:pPr>
          </w:p>
        </w:tc>
        <w:tc>
          <w:tcPr>
            <w:tcW w:w="880" w:type="dxa"/>
            <w:vAlign w:val="bottom"/>
            <w:vMerge w:val="restart"/>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10/25/2018</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10/1/2026</w:t>
            </w:r>
          </w:p>
        </w:tc>
        <w:tc>
          <w:tcPr>
            <w:tcW w:w="8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7,119</w:t>
            </w:r>
          </w:p>
        </w:tc>
        <w:tc>
          <w:tcPr>
            <w:tcW w:w="9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6,765</w:t>
            </w:r>
          </w:p>
        </w:tc>
        <w:tc>
          <w:tcPr>
            <w:tcW w:w="900" w:type="dxa"/>
            <w:vAlign w:val="bottom"/>
            <w:gridSpan w:val="2"/>
            <w:vMerge w:val="restart"/>
            <w:shd w:val="clear" w:color="auto" w:fill="CAEEFB"/>
          </w:tcPr>
          <w:p>
            <w:pPr>
              <w:jc w:val="right"/>
              <w:ind w:right="68"/>
              <w:spacing w:after="0"/>
              <w:rPr>
                <w:sz w:val="20"/>
                <w:szCs w:val="20"/>
                <w:color w:val="auto"/>
              </w:rPr>
            </w:pPr>
            <w:r>
              <w:rPr>
                <w:rFonts w:ascii="Times New Roman" w:cs="Times New Roman" w:eastAsia="Times New Roman" w:hAnsi="Times New Roman"/>
                <w:sz w:val="14"/>
                <w:szCs w:val="14"/>
                <w:color w:val="auto"/>
              </w:rPr>
              <w:t>4,079</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jc w:val="center"/>
              <w:spacing w:after="0"/>
              <w:rPr>
                <w:sz w:val="20"/>
                <w:szCs w:val="20"/>
                <w:color w:val="auto"/>
              </w:rPr>
            </w:pPr>
            <w:r>
              <w:rPr>
                <w:rFonts w:ascii="Times New Roman" w:cs="Times New Roman" w:eastAsia="Times New Roman" w:hAnsi="Times New Roman"/>
                <w:sz w:val="14"/>
                <w:szCs w:val="14"/>
                <w:color w:val="auto"/>
                <w:w w:val="97"/>
              </w:rPr>
              <w:t>PIK</w:t>
            </w:r>
          </w:p>
        </w:tc>
        <w:tc>
          <w:tcPr>
            <w:tcW w:w="120" w:type="dxa"/>
            <w:vAlign w:val="bottom"/>
            <w:shd w:val="clear" w:color="auto" w:fill="CAEEFB"/>
          </w:tcPr>
          <w:p>
            <w:pPr>
              <w:spacing w:after="0"/>
              <w:rPr>
                <w:sz w:val="14"/>
                <w:szCs w:val="14"/>
                <w:color w:val="auto"/>
              </w:rPr>
            </w:pPr>
          </w:p>
        </w:tc>
        <w:tc>
          <w:tcPr>
            <w:tcW w:w="880" w:type="dxa"/>
            <w:vAlign w:val="bottom"/>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800" w:type="dxa"/>
            <w:vAlign w:val="bottom"/>
            <w:gridSpan w:val="2"/>
            <w:vMerge w:val="continue"/>
            <w:shd w:val="clear" w:color="auto" w:fill="CAEEFB"/>
          </w:tcPr>
          <w:p>
            <w:pPr>
              <w:spacing w:after="0"/>
              <w:rPr>
                <w:sz w:val="14"/>
                <w:szCs w:val="14"/>
                <w:color w:val="auto"/>
              </w:rPr>
            </w:pPr>
          </w:p>
        </w:tc>
        <w:tc>
          <w:tcPr>
            <w:tcW w:w="900" w:type="dxa"/>
            <w:vAlign w:val="bottom"/>
            <w:gridSpan w:val="2"/>
            <w:vMerge w:val="continue"/>
            <w:shd w:val="clear" w:color="auto" w:fill="CAEEFB"/>
          </w:tcPr>
          <w:p>
            <w:pPr>
              <w:spacing w:after="0"/>
              <w:rPr>
                <w:sz w:val="14"/>
                <w:szCs w:val="14"/>
                <w:color w:val="auto"/>
              </w:rPr>
            </w:pPr>
          </w:p>
        </w:tc>
        <w:tc>
          <w:tcPr>
            <w:tcW w:w="90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540" w:type="dxa"/>
            <w:vAlign w:val="bottom"/>
            <w:shd w:val="clear" w:color="auto" w:fill="CAEEFB"/>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GoTo Group (F/K/A LogMeIn, Inc.) (14)</w:t>
            </w:r>
          </w:p>
        </w:tc>
        <w:tc>
          <w:tcPr>
            <w:tcW w:w="100" w:type="dxa"/>
            <w:vAlign w:val="bottom"/>
            <w:shd w:val="clear" w:color="auto" w:fill="CAEEFB"/>
          </w:tcPr>
          <w:p>
            <w:pPr>
              <w:spacing w:after="0"/>
              <w:rPr>
                <w:sz w:val="10"/>
                <w:szCs w:val="10"/>
                <w:color w:val="auto"/>
              </w:rPr>
            </w:pPr>
          </w:p>
        </w:tc>
        <w:tc>
          <w:tcPr>
            <w:tcW w:w="1760" w:type="dxa"/>
            <w:vAlign w:val="bottom"/>
            <w:shd w:val="clear" w:color="auto" w:fill="CAEEFB"/>
          </w:tcPr>
          <w:p>
            <w:pPr>
              <w:spacing w:after="0" w:line="124" w:lineRule="exact"/>
              <w:rPr>
                <w:sz w:val="20"/>
                <w:szCs w:val="20"/>
                <w:color w:val="auto"/>
              </w:rPr>
            </w:pPr>
            <w:r>
              <w:rPr>
                <w:rFonts w:ascii="Times New Roman" w:cs="Times New Roman" w:eastAsia="Times New Roman" w:hAnsi="Times New Roman"/>
                <w:sz w:val="14"/>
                <w:szCs w:val="14"/>
                <w:color w:val="auto"/>
              </w:rPr>
              <w:t>Data Processing, Hosting, and</w:t>
            </w:r>
          </w:p>
        </w:tc>
        <w:tc>
          <w:tcPr>
            <w:tcW w:w="120" w:type="dxa"/>
            <w:vAlign w:val="bottom"/>
            <w:shd w:val="clear" w:color="auto" w:fill="CAEEFB"/>
          </w:tcPr>
          <w:p>
            <w:pPr>
              <w:spacing w:after="0"/>
              <w:rPr>
                <w:sz w:val="10"/>
                <w:szCs w:val="10"/>
                <w:color w:val="auto"/>
              </w:rPr>
            </w:pPr>
          </w:p>
        </w:tc>
        <w:tc>
          <w:tcPr>
            <w:tcW w:w="72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88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8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(15)</w:t>
            </w:r>
          </w:p>
        </w:tc>
        <w:tc>
          <w:tcPr>
            <w:tcW w:w="100" w:type="dxa"/>
            <w:vAlign w:val="bottom"/>
            <w:shd w:val="clear" w:color="auto" w:fill="CAEEFB"/>
          </w:tcPr>
          <w:p>
            <w:pPr>
              <w:spacing w:after="0"/>
              <w:rPr>
                <w:sz w:val="15"/>
                <w:szCs w:val="15"/>
                <w:color w:val="auto"/>
              </w:rPr>
            </w:pPr>
          </w:p>
        </w:tc>
        <w:tc>
          <w:tcPr>
            <w:tcW w:w="17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Related Services</w:t>
            </w:r>
          </w:p>
        </w:tc>
        <w:tc>
          <w:tcPr>
            <w:tcW w:w="120" w:type="dxa"/>
            <w:vAlign w:val="bottom"/>
            <w:shd w:val="clear" w:color="auto" w:fill="CAEEFB"/>
          </w:tcPr>
          <w:p>
            <w:pPr>
              <w:spacing w:after="0"/>
              <w:rPr>
                <w:sz w:val="15"/>
                <w:szCs w:val="15"/>
                <w:color w:val="auto"/>
              </w:rPr>
            </w:pPr>
          </w:p>
        </w:tc>
        <w:tc>
          <w:tcPr>
            <w:tcW w:w="72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88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66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660" w:type="dxa"/>
            <w:vAlign w:val="bottom"/>
            <w:shd w:val="clear" w:color="auto" w:fill="CAEEFB"/>
          </w:tcPr>
          <w:p>
            <w:pPr>
              <w:spacing w:after="0"/>
              <w:rPr>
                <w:sz w:val="15"/>
                <w:szCs w:val="15"/>
                <w:color w:val="auto"/>
              </w:rPr>
            </w:pPr>
          </w:p>
        </w:tc>
        <w:tc>
          <w:tcPr>
            <w:tcW w:w="140" w:type="dxa"/>
            <w:vAlign w:val="bottom"/>
            <w:shd w:val="clear" w:color="auto" w:fill="CAEEFB"/>
          </w:tcPr>
          <w:p>
            <w:pPr>
              <w:spacing w:after="0"/>
              <w:rPr>
                <w:sz w:val="15"/>
                <w:szCs w:val="15"/>
                <w:color w:val="auto"/>
              </w:rPr>
            </w:pPr>
          </w:p>
        </w:tc>
        <w:tc>
          <w:tcPr>
            <w:tcW w:w="66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78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80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760" w:type="dxa"/>
            <w:vAlign w:val="bottom"/>
            <w:shd w:val="clear" w:color="auto" w:fill="CAEEFB"/>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8.79%</w:t>
            </w:r>
          </w:p>
        </w:tc>
        <w:tc>
          <w:tcPr>
            <w:tcW w:w="120" w:type="dxa"/>
            <w:vAlign w:val="bottom"/>
          </w:tcPr>
          <w:p>
            <w:pPr>
              <w:spacing w:after="0"/>
              <w:rPr>
                <w:sz w:val="12"/>
                <w:szCs w:val="12"/>
                <w:color w:val="auto"/>
              </w:rPr>
            </w:pPr>
          </w:p>
        </w:tc>
        <w:tc>
          <w:tcPr>
            <w:tcW w:w="88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3/26/2021</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4/28/2028</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926</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926</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826</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+4.75%</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8.79%</w:t>
            </w: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3/26/2021</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4/28/2028</w:t>
            </w:r>
          </w:p>
        </w:tc>
        <w:tc>
          <w:tcPr>
            <w:tcW w:w="140" w:type="dxa"/>
            <w:vAlign w:val="bottom"/>
            <w:vMerge w:val="restart"/>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1,280</w:t>
            </w:r>
          </w:p>
        </w:tc>
        <w:tc>
          <w:tcPr>
            <w:tcW w:w="120" w:type="dxa"/>
            <w:vAlign w:val="bottom"/>
            <w:vMerge w:val="restart"/>
            <w:shd w:val="clear" w:color="auto" w:fill="CAEEFB"/>
          </w:tcPr>
          <w:p>
            <w:pPr>
              <w:spacing w:after="0"/>
              <w:rPr>
                <w:sz w:val="12"/>
                <w:szCs w:val="12"/>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1,279</w:t>
            </w:r>
          </w:p>
        </w:tc>
        <w:tc>
          <w:tcPr>
            <w:tcW w:w="100" w:type="dxa"/>
            <w:vAlign w:val="bottom"/>
            <w:vMerge w:val="restart"/>
            <w:shd w:val="clear" w:color="auto" w:fill="CAEEFB"/>
          </w:tcPr>
          <w:p>
            <w:pPr>
              <w:spacing w:after="0"/>
              <w:rPr>
                <w:sz w:val="12"/>
                <w:szCs w:val="12"/>
                <w:color w:val="auto"/>
              </w:rPr>
            </w:pPr>
          </w:p>
        </w:tc>
        <w:tc>
          <w:tcPr>
            <w:tcW w:w="80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vMerge w:val="restart"/>
            <w:shd w:val="clear" w:color="auto" w:fill="CAEEFB"/>
          </w:tcPr>
          <w:p>
            <w:pPr>
              <w:spacing w:after="0"/>
              <w:rPr>
                <w:sz w:val="12"/>
                <w:szCs w:val="12"/>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58"/>
        </w:trPr>
        <w:tc>
          <w:tcPr>
            <w:tcW w:w="2540" w:type="dxa"/>
            <w:vAlign w:val="bottom"/>
            <w:tcBorders>
              <w:bottom w:val="single" w:sz="8" w:color="CAEEFB"/>
            </w:tcBorders>
            <w:vMerge w:val="continue"/>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1760" w:type="dxa"/>
            <w:vAlign w:val="bottom"/>
            <w:tcBorders>
              <w:bottom w:val="single" w:sz="8" w:color="CAEEFB"/>
            </w:tcBorders>
            <w:shd w:val="clear" w:color="auto" w:fill="CAEEFB"/>
          </w:tcPr>
          <w:p>
            <w:pPr>
              <w:spacing w:after="0"/>
              <w:rPr>
                <w:sz w:val="13"/>
                <w:szCs w:val="13"/>
                <w:color w:val="auto"/>
              </w:rPr>
            </w:pPr>
          </w:p>
        </w:tc>
        <w:tc>
          <w:tcPr>
            <w:tcW w:w="840" w:type="dxa"/>
            <w:vAlign w:val="bottom"/>
            <w:tcBorders>
              <w:bottom w:val="single" w:sz="8" w:color="CAEEFB"/>
            </w:tcBorders>
            <w:gridSpan w:val="2"/>
            <w:vMerge w:val="continue"/>
            <w:shd w:val="clear" w:color="auto" w:fill="CAEEFB"/>
          </w:tcPr>
          <w:p>
            <w:pPr>
              <w:spacing w:after="0"/>
              <w:rPr>
                <w:sz w:val="13"/>
                <w:szCs w:val="13"/>
                <w:color w:val="auto"/>
              </w:rPr>
            </w:pPr>
          </w:p>
        </w:tc>
        <w:tc>
          <w:tcPr>
            <w:tcW w:w="1000" w:type="dxa"/>
            <w:vAlign w:val="bottom"/>
            <w:tcBorders>
              <w:bottom w:val="single" w:sz="8" w:color="CAEEFB"/>
            </w:tcBorders>
            <w:gridSpan w:val="2"/>
            <w:shd w:val="clear" w:color="auto" w:fill="CAEEFB"/>
          </w:tcPr>
          <w:p>
            <w:pPr>
              <w:ind w:left="460"/>
              <w:spacing w:after="0" w:line="158" w:lineRule="exact"/>
              <w:rPr>
                <w:sz w:val="20"/>
                <w:szCs w:val="20"/>
                <w:color w:val="auto"/>
              </w:rPr>
            </w:pPr>
            <w:r>
              <w:rPr>
                <w:rFonts w:ascii="Times New Roman" w:cs="Times New Roman" w:eastAsia="Times New Roman" w:hAnsi="Times New Roman"/>
                <w:sz w:val="14"/>
                <w:szCs w:val="14"/>
                <w:color w:val="auto"/>
              </w:rPr>
              <w:t>+4.75%</w:t>
            </w:r>
          </w:p>
        </w:tc>
        <w:tc>
          <w:tcPr>
            <w:tcW w:w="780" w:type="dxa"/>
            <w:vAlign w:val="bottom"/>
            <w:tcBorders>
              <w:bottom w:val="single" w:sz="8" w:color="CAEEFB"/>
            </w:tcBorders>
            <w:gridSpan w:val="2"/>
            <w:vMerge w:val="continue"/>
            <w:shd w:val="clear" w:color="auto" w:fill="CAEEFB"/>
          </w:tcPr>
          <w:p>
            <w:pPr>
              <w:spacing w:after="0"/>
              <w:rPr>
                <w:sz w:val="13"/>
                <w:szCs w:val="13"/>
                <w:color w:val="auto"/>
              </w:rPr>
            </w:pPr>
          </w:p>
        </w:tc>
        <w:tc>
          <w:tcPr>
            <w:tcW w:w="780" w:type="dxa"/>
            <w:vAlign w:val="bottom"/>
            <w:tcBorders>
              <w:bottom w:val="single" w:sz="8" w:color="CAEEFB"/>
            </w:tcBorders>
            <w:gridSpan w:val="2"/>
            <w:vMerge w:val="continue"/>
            <w:shd w:val="clear" w:color="auto" w:fill="CAEEFB"/>
          </w:tcPr>
          <w:p>
            <w:pPr>
              <w:spacing w:after="0"/>
              <w:rPr>
                <w:sz w:val="13"/>
                <w:szCs w:val="13"/>
                <w:color w:val="auto"/>
              </w:rPr>
            </w:pPr>
          </w:p>
        </w:tc>
        <w:tc>
          <w:tcPr>
            <w:tcW w:w="140" w:type="dxa"/>
            <w:vAlign w:val="bottom"/>
            <w:tcBorders>
              <w:bottom w:val="single" w:sz="8" w:color="CAEEFB"/>
            </w:tcBorders>
            <w:vMerge w:val="continue"/>
            <w:shd w:val="clear" w:color="auto" w:fill="CAEEFB"/>
          </w:tcPr>
          <w:p>
            <w:pPr>
              <w:spacing w:after="0"/>
              <w:rPr>
                <w:sz w:val="13"/>
                <w:szCs w:val="13"/>
                <w:color w:val="auto"/>
              </w:rPr>
            </w:pPr>
          </w:p>
        </w:tc>
        <w:tc>
          <w:tcPr>
            <w:tcW w:w="660" w:type="dxa"/>
            <w:vAlign w:val="bottom"/>
            <w:tcBorders>
              <w:bottom w:val="single" w:sz="8" w:color="auto"/>
            </w:tcBorders>
            <w:vMerge w:val="continue"/>
            <w:shd w:val="clear" w:color="auto" w:fill="CAEEFB"/>
          </w:tcPr>
          <w:p>
            <w:pPr>
              <w:spacing w:after="0"/>
              <w:rPr>
                <w:sz w:val="13"/>
                <w:szCs w:val="13"/>
                <w:color w:val="auto"/>
              </w:rPr>
            </w:pPr>
          </w:p>
        </w:tc>
        <w:tc>
          <w:tcPr>
            <w:tcW w:w="12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80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60" w:type="dxa"/>
            <w:vAlign w:val="bottom"/>
            <w:tcBorders>
              <w:bottom w:val="single" w:sz="8" w:color="auto"/>
            </w:tcBorders>
            <w:vMerge w:val="continue"/>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2,206</w:t>
            </w:r>
          </w:p>
        </w:tc>
        <w:tc>
          <w:tcPr>
            <w:tcW w:w="9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2,205</w:t>
            </w:r>
          </w:p>
        </w:tc>
        <w:tc>
          <w:tcPr>
            <w:tcW w:w="90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1,329</w:t>
            </w:r>
          </w:p>
        </w:tc>
        <w:tc>
          <w:tcPr>
            <w:tcW w:w="8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37"/>
        </w:trPr>
        <w:tc>
          <w:tcPr>
            <w:tcW w:w="2540" w:type="dxa"/>
            <w:vAlign w:val="bottom"/>
            <w:shd w:val="clear" w:color="auto" w:fill="CAEEFB"/>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Heritage Grocers Group, LLC. (F/K/A</w:t>
            </w:r>
          </w:p>
        </w:tc>
        <w:tc>
          <w:tcPr>
            <w:tcW w:w="100" w:type="dxa"/>
            <w:vAlign w:val="bottom"/>
            <w:shd w:val="clear" w:color="auto" w:fill="CAEEFB"/>
          </w:tcPr>
          <w:p>
            <w:pPr>
              <w:spacing w:after="0"/>
              <w:rPr>
                <w:sz w:val="11"/>
                <w:szCs w:val="11"/>
                <w:color w:val="auto"/>
              </w:rPr>
            </w:pPr>
          </w:p>
        </w:tc>
        <w:tc>
          <w:tcPr>
            <w:tcW w:w="17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Supermarkets and Other</w:t>
            </w:r>
          </w:p>
        </w:tc>
        <w:tc>
          <w:tcPr>
            <w:tcW w:w="120" w:type="dxa"/>
            <w:vAlign w:val="bottom"/>
            <w:shd w:val="clear" w:color="auto" w:fill="CAEEFB"/>
          </w:tcPr>
          <w:p>
            <w:pPr>
              <w:spacing w:after="0"/>
              <w:rPr>
                <w:sz w:val="11"/>
                <w:szCs w:val="11"/>
                <w:color w:val="auto"/>
              </w:rPr>
            </w:pPr>
          </w:p>
        </w:tc>
        <w:tc>
          <w:tcPr>
            <w:tcW w:w="720" w:type="dxa"/>
            <w:vAlign w:val="bottom"/>
            <w:shd w:val="clear" w:color="auto" w:fill="CAEEFB"/>
          </w:tcPr>
          <w:p>
            <w:pPr>
              <w:spacing w:after="0"/>
              <w:rPr>
                <w:sz w:val="11"/>
                <w:szCs w:val="11"/>
                <w:color w:val="auto"/>
              </w:rPr>
            </w:pPr>
          </w:p>
        </w:tc>
        <w:tc>
          <w:tcPr>
            <w:tcW w:w="120" w:type="dxa"/>
            <w:vAlign w:val="bottom"/>
            <w:shd w:val="clear" w:color="auto" w:fill="CAEEFB"/>
          </w:tcPr>
          <w:p>
            <w:pPr>
              <w:spacing w:after="0"/>
              <w:rPr>
                <w:sz w:val="11"/>
                <w:szCs w:val="11"/>
                <w:color w:val="auto"/>
              </w:rPr>
            </w:pPr>
          </w:p>
        </w:tc>
        <w:tc>
          <w:tcPr>
            <w:tcW w:w="880" w:type="dxa"/>
            <w:vAlign w:val="bottom"/>
            <w:shd w:val="clear" w:color="auto" w:fill="CAEEFB"/>
          </w:tcPr>
          <w:p>
            <w:pPr>
              <w:spacing w:after="0"/>
              <w:rPr>
                <w:sz w:val="11"/>
                <w:szCs w:val="11"/>
                <w:color w:val="auto"/>
              </w:rPr>
            </w:pPr>
          </w:p>
        </w:tc>
        <w:tc>
          <w:tcPr>
            <w:tcW w:w="120" w:type="dxa"/>
            <w:vAlign w:val="bottom"/>
            <w:shd w:val="clear" w:color="auto" w:fill="CAEEFB"/>
          </w:tcPr>
          <w:p>
            <w:pPr>
              <w:spacing w:after="0"/>
              <w:rPr>
                <w:sz w:val="11"/>
                <w:szCs w:val="11"/>
                <w:color w:val="auto"/>
              </w:rPr>
            </w:pPr>
          </w:p>
        </w:tc>
        <w:tc>
          <w:tcPr>
            <w:tcW w:w="660" w:type="dxa"/>
            <w:vAlign w:val="bottom"/>
            <w:shd w:val="clear" w:color="auto" w:fill="CAEEFB"/>
          </w:tcPr>
          <w:p>
            <w:pPr>
              <w:spacing w:after="0"/>
              <w:rPr>
                <w:sz w:val="11"/>
                <w:szCs w:val="11"/>
                <w:color w:val="auto"/>
              </w:rPr>
            </w:pPr>
          </w:p>
        </w:tc>
        <w:tc>
          <w:tcPr>
            <w:tcW w:w="120" w:type="dxa"/>
            <w:vAlign w:val="bottom"/>
            <w:shd w:val="clear" w:color="auto" w:fill="CAEEFB"/>
          </w:tcPr>
          <w:p>
            <w:pPr>
              <w:spacing w:after="0"/>
              <w:rPr>
                <w:sz w:val="11"/>
                <w:szCs w:val="11"/>
                <w:color w:val="auto"/>
              </w:rPr>
            </w:pPr>
          </w:p>
        </w:tc>
        <w:tc>
          <w:tcPr>
            <w:tcW w:w="660" w:type="dxa"/>
            <w:vAlign w:val="bottom"/>
            <w:shd w:val="clear" w:color="auto" w:fill="CAEEFB"/>
          </w:tcPr>
          <w:p>
            <w:pPr>
              <w:spacing w:after="0"/>
              <w:rPr>
                <w:sz w:val="11"/>
                <w:szCs w:val="11"/>
                <w:color w:val="auto"/>
              </w:rPr>
            </w:pPr>
          </w:p>
        </w:tc>
        <w:tc>
          <w:tcPr>
            <w:tcW w:w="140" w:type="dxa"/>
            <w:vAlign w:val="bottom"/>
            <w:shd w:val="clear" w:color="auto" w:fill="CAEEFB"/>
          </w:tcPr>
          <w:p>
            <w:pPr>
              <w:spacing w:after="0"/>
              <w:rPr>
                <w:sz w:val="11"/>
                <w:szCs w:val="11"/>
                <w:color w:val="auto"/>
              </w:rPr>
            </w:pPr>
          </w:p>
        </w:tc>
        <w:tc>
          <w:tcPr>
            <w:tcW w:w="660" w:type="dxa"/>
            <w:vAlign w:val="bottom"/>
            <w:shd w:val="clear" w:color="auto" w:fill="CAEEFB"/>
          </w:tcPr>
          <w:p>
            <w:pPr>
              <w:spacing w:after="0"/>
              <w:rPr>
                <w:sz w:val="11"/>
                <w:szCs w:val="11"/>
                <w:color w:val="auto"/>
              </w:rPr>
            </w:pPr>
          </w:p>
        </w:tc>
        <w:tc>
          <w:tcPr>
            <w:tcW w:w="120" w:type="dxa"/>
            <w:vAlign w:val="bottom"/>
            <w:shd w:val="clear" w:color="auto" w:fill="CAEEFB"/>
          </w:tcPr>
          <w:p>
            <w:pPr>
              <w:spacing w:after="0"/>
              <w:rPr>
                <w:sz w:val="11"/>
                <w:szCs w:val="11"/>
                <w:color w:val="auto"/>
              </w:rPr>
            </w:pPr>
          </w:p>
        </w:tc>
        <w:tc>
          <w:tcPr>
            <w:tcW w:w="780" w:type="dxa"/>
            <w:vAlign w:val="bottom"/>
            <w:shd w:val="clear" w:color="auto" w:fill="CAEEFB"/>
          </w:tcPr>
          <w:p>
            <w:pPr>
              <w:spacing w:after="0"/>
              <w:rPr>
                <w:sz w:val="11"/>
                <w:szCs w:val="11"/>
                <w:color w:val="auto"/>
              </w:rPr>
            </w:pPr>
          </w:p>
        </w:tc>
        <w:tc>
          <w:tcPr>
            <w:tcW w:w="100" w:type="dxa"/>
            <w:vAlign w:val="bottom"/>
            <w:shd w:val="clear" w:color="auto" w:fill="CAEEFB"/>
          </w:tcPr>
          <w:p>
            <w:pPr>
              <w:spacing w:after="0"/>
              <w:rPr>
                <w:sz w:val="11"/>
                <w:szCs w:val="11"/>
                <w:color w:val="auto"/>
              </w:rPr>
            </w:pPr>
          </w:p>
        </w:tc>
        <w:tc>
          <w:tcPr>
            <w:tcW w:w="800" w:type="dxa"/>
            <w:vAlign w:val="bottom"/>
            <w:shd w:val="clear" w:color="auto" w:fill="CAEEFB"/>
          </w:tcPr>
          <w:p>
            <w:pPr>
              <w:spacing w:after="0"/>
              <w:rPr>
                <w:sz w:val="11"/>
                <w:szCs w:val="11"/>
                <w:color w:val="auto"/>
              </w:rPr>
            </w:pPr>
          </w:p>
        </w:tc>
        <w:tc>
          <w:tcPr>
            <w:tcW w:w="100" w:type="dxa"/>
            <w:vAlign w:val="bottom"/>
            <w:shd w:val="clear" w:color="auto" w:fill="CAEEFB"/>
          </w:tcPr>
          <w:p>
            <w:pPr>
              <w:spacing w:after="0"/>
              <w:rPr>
                <w:sz w:val="11"/>
                <w:szCs w:val="11"/>
                <w:color w:val="auto"/>
              </w:rPr>
            </w:pPr>
          </w:p>
        </w:tc>
        <w:tc>
          <w:tcPr>
            <w:tcW w:w="760" w:type="dxa"/>
            <w:vAlign w:val="bottom"/>
            <w:shd w:val="clear" w:color="auto" w:fill="CAEEFB"/>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Tony's</w:t>
            </w:r>
          </w:p>
        </w:tc>
        <w:tc>
          <w:tcPr>
            <w:tcW w:w="100" w:type="dxa"/>
            <w:vAlign w:val="bottom"/>
            <w:shd w:val="clear" w:color="auto" w:fill="CAEEFB"/>
          </w:tcPr>
          <w:p>
            <w:pPr>
              <w:spacing w:after="0"/>
              <w:rPr>
                <w:sz w:val="12"/>
                <w:szCs w:val="12"/>
                <w:color w:val="auto"/>
              </w:rPr>
            </w:pPr>
          </w:p>
        </w:tc>
        <w:tc>
          <w:tcPr>
            <w:tcW w:w="1760" w:type="dxa"/>
            <w:vAlign w:val="bottom"/>
            <w:vMerge w:val="continue"/>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8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Fresh Market / Cardenas Markets) (14)</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color w:val="auto"/>
              </w:rPr>
              <w:t>Grocery (except</w:t>
            </w: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8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(15)</w:t>
            </w:r>
          </w:p>
        </w:tc>
        <w:tc>
          <w:tcPr>
            <w:tcW w:w="100" w:type="dxa"/>
            <w:vAlign w:val="bottom"/>
            <w:shd w:val="clear" w:color="auto" w:fill="CAEEFB"/>
          </w:tcPr>
          <w:p>
            <w:pPr>
              <w:spacing w:after="0"/>
              <w:rPr>
                <w:sz w:val="15"/>
                <w:szCs w:val="15"/>
                <w:color w:val="auto"/>
              </w:rPr>
            </w:pPr>
          </w:p>
        </w:tc>
        <w:tc>
          <w:tcPr>
            <w:tcW w:w="17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Convenience) Stores</w:t>
            </w:r>
          </w:p>
        </w:tc>
        <w:tc>
          <w:tcPr>
            <w:tcW w:w="120" w:type="dxa"/>
            <w:vAlign w:val="bottom"/>
            <w:shd w:val="clear" w:color="auto" w:fill="CAEEFB"/>
          </w:tcPr>
          <w:p>
            <w:pPr>
              <w:spacing w:after="0"/>
              <w:rPr>
                <w:sz w:val="15"/>
                <w:szCs w:val="15"/>
                <w:color w:val="auto"/>
              </w:rPr>
            </w:pPr>
          </w:p>
        </w:tc>
        <w:tc>
          <w:tcPr>
            <w:tcW w:w="72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88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66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660" w:type="dxa"/>
            <w:vAlign w:val="bottom"/>
            <w:shd w:val="clear" w:color="auto" w:fill="CAEEFB"/>
          </w:tcPr>
          <w:p>
            <w:pPr>
              <w:spacing w:after="0"/>
              <w:rPr>
                <w:sz w:val="15"/>
                <w:szCs w:val="15"/>
                <w:color w:val="auto"/>
              </w:rPr>
            </w:pPr>
          </w:p>
        </w:tc>
        <w:tc>
          <w:tcPr>
            <w:tcW w:w="140" w:type="dxa"/>
            <w:vAlign w:val="bottom"/>
            <w:shd w:val="clear" w:color="auto" w:fill="CAEEFB"/>
          </w:tcPr>
          <w:p>
            <w:pPr>
              <w:spacing w:after="0"/>
              <w:rPr>
                <w:sz w:val="15"/>
                <w:szCs w:val="15"/>
                <w:color w:val="auto"/>
              </w:rPr>
            </w:pPr>
          </w:p>
        </w:tc>
        <w:tc>
          <w:tcPr>
            <w:tcW w:w="66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78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80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760" w:type="dxa"/>
            <w:vAlign w:val="bottom"/>
            <w:shd w:val="clear" w:color="auto" w:fill="CAEEFB"/>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10.52%</w:t>
            </w:r>
          </w:p>
        </w:tc>
        <w:tc>
          <w:tcPr>
            <w:tcW w:w="120" w:type="dxa"/>
            <w:vAlign w:val="bottom"/>
          </w:tcPr>
          <w:p>
            <w:pPr>
              <w:spacing w:after="0"/>
              <w:rPr>
                <w:sz w:val="12"/>
                <w:szCs w:val="12"/>
                <w:color w:val="auto"/>
              </w:rPr>
            </w:pPr>
          </w:p>
        </w:tc>
        <w:tc>
          <w:tcPr>
            <w:tcW w:w="88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7/20/2022</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8/1/2029</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8,908</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8,763</w:t>
            </w:r>
          </w:p>
        </w:tc>
        <w:tc>
          <w:tcPr>
            <w:tcW w:w="9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6,976</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+6.75%</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8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5464810</wp:posOffset>
            </wp:positionH>
            <wp:positionV relativeFrom="paragraph">
              <wp:posOffset>-4971415</wp:posOffset>
            </wp:positionV>
            <wp:extent cx="68580" cy="1117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-4971415</wp:posOffset>
            </wp:positionV>
            <wp:extent cx="68580" cy="1117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-4971415</wp:posOffset>
            </wp:positionV>
            <wp:extent cx="68580" cy="1117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5464810</wp:posOffset>
            </wp:positionH>
            <wp:positionV relativeFrom="paragraph">
              <wp:posOffset>-3891280</wp:posOffset>
            </wp:positionV>
            <wp:extent cx="68580" cy="1117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-3891280</wp:posOffset>
            </wp:positionV>
            <wp:extent cx="68580" cy="1117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-3891280</wp:posOffset>
            </wp:positionV>
            <wp:extent cx="68580" cy="1117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5464810</wp:posOffset>
            </wp:positionH>
            <wp:positionV relativeFrom="paragraph">
              <wp:posOffset>-3196590</wp:posOffset>
            </wp:positionV>
            <wp:extent cx="68580" cy="1117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-3196590</wp:posOffset>
            </wp:positionV>
            <wp:extent cx="68580" cy="1117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-3196590</wp:posOffset>
            </wp:positionV>
            <wp:extent cx="68580" cy="1117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5464810</wp:posOffset>
            </wp:positionH>
            <wp:positionV relativeFrom="paragraph">
              <wp:posOffset>-796290</wp:posOffset>
            </wp:positionV>
            <wp:extent cx="68580" cy="1111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-796290</wp:posOffset>
            </wp:positionV>
            <wp:extent cx="68580" cy="1111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-796290</wp:posOffset>
            </wp:positionV>
            <wp:extent cx="68580" cy="1111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1112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321945</wp:posOffset>
            </wp:positionV>
            <wp:extent cx="71831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504" w:right="318"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Principa</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Spread Above</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10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w:t>
            </w:r>
          </w:p>
        </w:tc>
        <w:tc>
          <w:tcPr>
            <w:tcW w:w="1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2"/>
                <w:szCs w:val="12"/>
                <w:color w:val="auto"/>
              </w:rPr>
            </w:pPr>
          </w:p>
        </w:tc>
        <w:tc>
          <w:tcPr>
            <w:tcW w:w="6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 Net</w:t>
            </w:r>
          </w:p>
        </w:tc>
        <w:tc>
          <w:tcPr>
            <w:tcW w:w="0" w:type="dxa"/>
            <w:vAlign w:val="bottom"/>
          </w:tcPr>
          <w:p>
            <w:pPr>
              <w:spacing w:after="0"/>
              <w:rPr>
                <w:sz w:val="1"/>
                <w:szCs w:val="1"/>
                <w:color w:val="auto"/>
              </w:rPr>
            </w:pPr>
          </w:p>
        </w:tc>
      </w:tr>
      <w:tr>
        <w:trPr>
          <w:trHeight w:val="173"/>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00" w:type="dxa"/>
            <w:vAlign w:val="bottom"/>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Index (2)</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Value (3)</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33"/>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Honor HN Buyer Inc.</w:t>
            </w:r>
          </w:p>
        </w:tc>
        <w:tc>
          <w:tcPr>
            <w:tcW w:w="100" w:type="dxa"/>
            <w:vAlign w:val="bottom"/>
          </w:tcPr>
          <w:p>
            <w:pPr>
              <w:spacing w:after="0"/>
              <w:rPr>
                <w:sz w:val="11"/>
                <w:szCs w:val="11"/>
                <w:color w:val="auto"/>
              </w:rPr>
            </w:pPr>
          </w:p>
        </w:tc>
        <w:tc>
          <w:tcPr>
            <w:tcW w:w="176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Services for the Elderly and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Persons with Disabilities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9.57%</w:t>
            </w: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10/15/2021</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10/15/2027</w:t>
            </w:r>
          </w:p>
        </w:tc>
        <w:tc>
          <w:tcPr>
            <w:tcW w:w="8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3,132</w:t>
            </w:r>
          </w:p>
        </w:tc>
        <w:tc>
          <w:tcPr>
            <w:tcW w:w="9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3,114</w:t>
            </w:r>
          </w:p>
        </w:tc>
        <w:tc>
          <w:tcPr>
            <w:tcW w:w="900" w:type="dxa"/>
            <w:vAlign w:val="bottom"/>
            <w:gridSpan w:val="2"/>
            <w:vMerge w:val="restart"/>
            <w:shd w:val="clear" w:color="auto" w:fill="CAEEFB"/>
          </w:tcPr>
          <w:p>
            <w:pPr>
              <w:jc w:val="right"/>
              <w:ind w:right="68"/>
              <w:spacing w:after="0"/>
              <w:rPr>
                <w:sz w:val="20"/>
                <w:szCs w:val="20"/>
                <w:color w:val="auto"/>
              </w:rPr>
            </w:pPr>
            <w:r>
              <w:rPr>
                <w:rFonts w:ascii="Times New Roman" w:cs="Times New Roman" w:eastAsia="Times New Roman" w:hAnsi="Times New Roman"/>
                <w:sz w:val="14"/>
                <w:szCs w:val="14"/>
                <w:color w:val="auto"/>
              </w:rPr>
              <w:t>3,132</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84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+5.75%</w:t>
            </w:r>
          </w:p>
        </w:tc>
        <w:tc>
          <w:tcPr>
            <w:tcW w:w="78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800" w:type="dxa"/>
            <w:vAlign w:val="bottom"/>
            <w:gridSpan w:val="2"/>
            <w:vMerge w:val="continue"/>
            <w:shd w:val="clear" w:color="auto" w:fill="CAEEFB"/>
          </w:tcPr>
          <w:p>
            <w:pPr>
              <w:spacing w:after="0"/>
              <w:rPr>
                <w:sz w:val="14"/>
                <w:szCs w:val="14"/>
                <w:color w:val="auto"/>
              </w:rPr>
            </w:pPr>
          </w:p>
        </w:tc>
        <w:tc>
          <w:tcPr>
            <w:tcW w:w="900" w:type="dxa"/>
            <w:vAlign w:val="bottom"/>
            <w:gridSpan w:val="2"/>
            <w:vMerge w:val="continue"/>
            <w:shd w:val="clear" w:color="auto" w:fill="CAEEFB"/>
          </w:tcPr>
          <w:p>
            <w:pPr>
              <w:spacing w:after="0"/>
              <w:rPr>
                <w:sz w:val="14"/>
                <w:szCs w:val="14"/>
                <w:color w:val="auto"/>
              </w:rPr>
            </w:pPr>
          </w:p>
        </w:tc>
        <w:tc>
          <w:tcPr>
            <w:tcW w:w="90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9.57%</w:t>
            </w:r>
          </w:p>
        </w:tc>
        <w:tc>
          <w:tcPr>
            <w:tcW w:w="120" w:type="dxa"/>
            <w:vAlign w:val="bottom"/>
          </w:tcPr>
          <w:p>
            <w:pPr>
              <w:spacing w:after="0"/>
              <w:rPr>
                <w:sz w:val="12"/>
                <w:szCs w:val="12"/>
                <w:color w:val="auto"/>
              </w:rPr>
            </w:pPr>
          </w:p>
        </w:tc>
        <w:tc>
          <w:tcPr>
            <w:tcW w:w="88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10/15/2021</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10/15/2027</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1,981</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1,959</w:t>
            </w:r>
          </w:p>
        </w:tc>
        <w:tc>
          <w:tcPr>
            <w:tcW w:w="9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1,981</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+5.75%</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840" w:type="dxa"/>
            <w:vAlign w:val="bottom"/>
            <w:gridSpan w:val="2"/>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11.50%</w:t>
            </w: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Prime+4.75%</w:t>
            </w:r>
          </w:p>
        </w:tc>
        <w:tc>
          <w:tcPr>
            <w:tcW w:w="780" w:type="dxa"/>
            <w:vAlign w:val="bottom"/>
            <w:gridSpan w:val="2"/>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10/15/2021</w:t>
            </w:r>
          </w:p>
        </w:tc>
        <w:tc>
          <w:tcPr>
            <w:tcW w:w="780" w:type="dxa"/>
            <w:vAlign w:val="bottom"/>
            <w:gridSpan w:val="2"/>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10/15/2027</w:t>
            </w:r>
          </w:p>
        </w:tc>
        <w:tc>
          <w:tcPr>
            <w:tcW w:w="800" w:type="dxa"/>
            <w:vAlign w:val="bottom"/>
            <w:gridSpan w:val="2"/>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900" w:type="dxa"/>
            <w:vAlign w:val="bottom"/>
            <w:gridSpan w:val="2"/>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45</w:t>
            </w:r>
          </w:p>
        </w:tc>
        <w:tc>
          <w:tcPr>
            <w:tcW w:w="900" w:type="dxa"/>
            <w:vAlign w:val="bottom"/>
            <w:gridSpan w:val="2"/>
            <w:shd w:val="clear" w:color="auto" w:fill="CAEEFB"/>
          </w:tcPr>
          <w:p>
            <w:pPr>
              <w:jc w:val="right"/>
              <w:ind w:right="68"/>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9.57%</w:t>
            </w:r>
          </w:p>
        </w:tc>
        <w:tc>
          <w:tcPr>
            <w:tcW w:w="120" w:type="dxa"/>
            <w:vAlign w:val="bottom"/>
          </w:tcPr>
          <w:p>
            <w:pPr>
              <w:spacing w:after="0"/>
              <w:rPr>
                <w:sz w:val="12"/>
                <w:szCs w:val="12"/>
                <w:color w:val="auto"/>
              </w:rPr>
            </w:pPr>
          </w:p>
        </w:tc>
        <w:tc>
          <w:tcPr>
            <w:tcW w:w="88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3/31/2023</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10/15/2027</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2,204</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2,182</w:t>
            </w:r>
          </w:p>
        </w:tc>
        <w:tc>
          <w:tcPr>
            <w:tcW w:w="9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2,204</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+5.75%</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(Delayed Draw) (5) (15)</w:t>
            </w:r>
          </w:p>
        </w:tc>
        <w:tc>
          <w:tcPr>
            <w:tcW w:w="100" w:type="dxa"/>
            <w:vAlign w:val="bottom"/>
            <w:shd w:val="clear" w:color="auto" w:fill="CAEEFB"/>
          </w:tcPr>
          <w:p>
            <w:pPr>
              <w:spacing w:after="0"/>
              <w:rPr>
                <w:sz w:val="10"/>
                <w:szCs w:val="10"/>
                <w:color w:val="auto"/>
              </w:rPr>
            </w:pPr>
          </w:p>
        </w:tc>
        <w:tc>
          <w:tcPr>
            <w:tcW w:w="176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720" w:type="dxa"/>
            <w:vAlign w:val="bottom"/>
            <w:vMerge w:val="restart"/>
            <w:shd w:val="clear" w:color="auto" w:fill="CAEEFB"/>
          </w:tcPr>
          <w:p>
            <w:pPr>
              <w:jc w:val="center"/>
              <w:spacing w:after="0"/>
              <w:rPr>
                <w:sz w:val="20"/>
                <w:szCs w:val="20"/>
                <w:color w:val="auto"/>
              </w:rPr>
            </w:pPr>
            <w:r>
              <w:rPr>
                <w:rFonts w:ascii="Times New Roman" w:cs="Times New Roman" w:eastAsia="Times New Roman" w:hAnsi="Times New Roman"/>
                <w:sz w:val="14"/>
                <w:szCs w:val="14"/>
                <w:color w:val="auto"/>
              </w:rPr>
              <w:t>n/m (18)</w:t>
            </w:r>
          </w:p>
        </w:tc>
        <w:tc>
          <w:tcPr>
            <w:tcW w:w="120" w:type="dxa"/>
            <w:vAlign w:val="bottom"/>
            <w:shd w:val="clear" w:color="auto" w:fill="CAEEFB"/>
          </w:tcPr>
          <w:p>
            <w:pPr>
              <w:spacing w:after="0"/>
              <w:rPr>
                <w:sz w:val="10"/>
                <w:szCs w:val="10"/>
                <w:color w:val="auto"/>
              </w:rPr>
            </w:pPr>
          </w:p>
        </w:tc>
        <w:tc>
          <w:tcPr>
            <w:tcW w:w="880" w:type="dxa"/>
            <w:vAlign w:val="bottom"/>
            <w:shd w:val="clear" w:color="auto" w:fill="CAEEFB"/>
          </w:tcPr>
          <w:p>
            <w:pPr>
              <w:jc w:val="right"/>
              <w:ind w:right="38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10/15/2024</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10/15/2026</w:t>
            </w:r>
          </w:p>
        </w:tc>
        <w:tc>
          <w:tcPr>
            <w:tcW w:w="140" w:type="dxa"/>
            <w:vAlign w:val="bottom"/>
            <w:shd w:val="clear" w:color="auto" w:fill="CAEEFB"/>
          </w:tcPr>
          <w:p>
            <w:pPr>
              <w:spacing w:after="0"/>
              <w:rPr>
                <w:sz w:val="10"/>
                <w:szCs w:val="10"/>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AEEFB"/>
          </w:tcPr>
          <w:p>
            <w:pPr>
              <w:spacing w:after="0"/>
              <w:rPr>
                <w:sz w:val="10"/>
                <w:szCs w:val="10"/>
                <w:color w:val="auto"/>
              </w:rPr>
            </w:pPr>
          </w:p>
        </w:tc>
        <w:tc>
          <w:tcPr>
            <w:tcW w:w="78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vMerge w:val="restart"/>
            <w:shd w:val="clear" w:color="auto" w:fill="CAEEFB"/>
          </w:tcPr>
          <w:p>
            <w:pPr>
              <w:spacing w:after="0"/>
              <w:rPr>
                <w:sz w:val="10"/>
                <w:szCs w:val="10"/>
                <w:color w:val="auto"/>
              </w:rPr>
            </w:pPr>
          </w:p>
        </w:tc>
        <w:tc>
          <w:tcPr>
            <w:tcW w:w="80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AEEFB"/>
          </w:tcPr>
          <w:p>
            <w:pPr>
              <w:spacing w:after="0"/>
              <w:rPr>
                <w:sz w:val="10"/>
                <w:szCs w:val="10"/>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8"/>
        </w:trPr>
        <w:tc>
          <w:tcPr>
            <w:tcW w:w="2540" w:type="dxa"/>
            <w:vAlign w:val="bottom"/>
            <w:tcBorders>
              <w:bottom w:val="single" w:sz="8" w:color="CAEEFB"/>
            </w:tcBorders>
            <w:vMerge w:val="continue"/>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1760" w:type="dxa"/>
            <w:vAlign w:val="bottom"/>
            <w:tcBorders>
              <w:bottom w:val="single" w:sz="8" w:color="CAEEFB"/>
            </w:tcBorders>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720" w:type="dxa"/>
            <w:vAlign w:val="bottom"/>
            <w:tcBorders>
              <w:bottom w:val="single" w:sz="8" w:color="CAEEFB"/>
            </w:tcBorders>
            <w:vMerge w:val="continue"/>
            <w:shd w:val="clear" w:color="auto" w:fill="CAEEFB"/>
          </w:tcPr>
          <w:p>
            <w:pPr>
              <w:spacing w:after="0"/>
              <w:rPr>
                <w:sz w:val="13"/>
                <w:szCs w:val="13"/>
                <w:color w:val="auto"/>
              </w:rPr>
            </w:pPr>
          </w:p>
        </w:tc>
        <w:tc>
          <w:tcPr>
            <w:tcW w:w="1000" w:type="dxa"/>
            <w:vAlign w:val="bottom"/>
            <w:tcBorders>
              <w:bottom w:val="single" w:sz="8" w:color="CAEEFB"/>
            </w:tcBorders>
            <w:gridSpan w:val="2"/>
            <w:shd w:val="clear" w:color="auto" w:fill="CAEEFB"/>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+5.75%</w:t>
            </w:r>
          </w:p>
        </w:tc>
        <w:tc>
          <w:tcPr>
            <w:tcW w:w="780" w:type="dxa"/>
            <w:vAlign w:val="bottom"/>
            <w:tcBorders>
              <w:bottom w:val="single" w:sz="8" w:color="CAEEFB"/>
            </w:tcBorders>
            <w:gridSpan w:val="2"/>
            <w:vMerge w:val="continue"/>
            <w:shd w:val="clear" w:color="auto" w:fill="CAEEFB"/>
          </w:tcPr>
          <w:p>
            <w:pPr>
              <w:spacing w:after="0"/>
              <w:rPr>
                <w:sz w:val="13"/>
                <w:szCs w:val="13"/>
                <w:color w:val="auto"/>
              </w:rPr>
            </w:pPr>
          </w:p>
        </w:tc>
        <w:tc>
          <w:tcPr>
            <w:tcW w:w="780" w:type="dxa"/>
            <w:vAlign w:val="bottom"/>
            <w:tcBorders>
              <w:bottom w:val="single" w:sz="8" w:color="CAEEFB"/>
            </w:tcBorders>
            <w:gridSpan w:val="2"/>
            <w:vMerge w:val="continue"/>
            <w:shd w:val="clear" w:color="auto" w:fill="CAEEFB"/>
          </w:tcPr>
          <w:p>
            <w:pPr>
              <w:spacing w:after="0"/>
              <w:rPr>
                <w:sz w:val="13"/>
                <w:szCs w:val="13"/>
                <w:color w:val="auto"/>
              </w:rPr>
            </w:pPr>
          </w:p>
        </w:tc>
        <w:tc>
          <w:tcPr>
            <w:tcW w:w="140" w:type="dxa"/>
            <w:vAlign w:val="bottom"/>
            <w:tcBorders>
              <w:bottom w:val="single" w:sz="8" w:color="CAEEFB"/>
            </w:tcBorders>
            <w:shd w:val="clear" w:color="auto" w:fill="CAEEFB"/>
          </w:tcPr>
          <w:p>
            <w:pPr>
              <w:spacing w:after="0"/>
              <w:rPr>
                <w:sz w:val="13"/>
                <w:szCs w:val="13"/>
                <w:color w:val="auto"/>
              </w:rPr>
            </w:pPr>
          </w:p>
        </w:tc>
        <w:tc>
          <w:tcPr>
            <w:tcW w:w="660" w:type="dxa"/>
            <w:vAlign w:val="bottom"/>
            <w:tcBorders>
              <w:bottom w:val="single" w:sz="8" w:color="auto"/>
            </w:tcBorders>
            <w:vMerge w:val="continue"/>
            <w:shd w:val="clear" w:color="auto" w:fill="CAEEFB"/>
          </w:tcPr>
          <w:p>
            <w:pPr>
              <w:spacing w:after="0"/>
              <w:rPr>
                <w:sz w:val="13"/>
                <w:szCs w:val="13"/>
                <w:color w:val="auto"/>
              </w:rPr>
            </w:pPr>
          </w:p>
        </w:tc>
        <w:tc>
          <w:tcPr>
            <w:tcW w:w="12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80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760" w:type="dxa"/>
            <w:vAlign w:val="bottom"/>
            <w:tcBorders>
              <w:bottom w:val="single" w:sz="8" w:color="auto"/>
            </w:tcBorders>
            <w:vMerge w:val="continue"/>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7,364</w:t>
            </w:r>
          </w:p>
        </w:tc>
        <w:tc>
          <w:tcPr>
            <w:tcW w:w="9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7,290</w:t>
            </w:r>
          </w:p>
        </w:tc>
        <w:tc>
          <w:tcPr>
            <w:tcW w:w="90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7,354</w:t>
            </w:r>
          </w:p>
        </w:tc>
        <w:tc>
          <w:tcPr>
            <w:tcW w:w="8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5.9 %</w:t>
            </w:r>
          </w:p>
        </w:tc>
        <w:tc>
          <w:tcPr>
            <w:tcW w:w="0" w:type="dxa"/>
            <w:vAlign w:val="bottom"/>
          </w:tcPr>
          <w:p>
            <w:pPr>
              <w:spacing w:after="0"/>
              <w:rPr>
                <w:sz w:val="1"/>
                <w:szCs w:val="1"/>
                <w:color w:val="auto"/>
              </w:rPr>
            </w:pPr>
          </w:p>
        </w:tc>
      </w:tr>
      <w:tr>
        <w:trPr>
          <w:trHeight w:val="139"/>
        </w:trPr>
        <w:tc>
          <w:tcPr>
            <w:tcW w:w="25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line="139" w:lineRule="exact"/>
              <w:rPr>
                <w:sz w:val="20"/>
                <w:szCs w:val="20"/>
                <w:color w:val="auto"/>
              </w:rPr>
            </w:pPr>
            <w:r>
              <w:rPr>
                <w:rFonts w:ascii="Times New Roman" w:cs="Times New Roman" w:eastAsia="Times New Roman" w:hAnsi="Times New Roman"/>
                <w:sz w:val="14"/>
                <w:szCs w:val="14"/>
                <w:color w:val="auto"/>
              </w:rPr>
              <w:t>Computer and Computer</w:t>
            </w: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8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color w:val="auto"/>
              </w:rPr>
              <w:t>Peripheral Equipment and</w:t>
            </w: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8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Idera Inc.</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color w:val="auto"/>
              </w:rPr>
              <w:t>Software Merchant</w:t>
            </w: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8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Wholesalers</w:t>
            </w: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8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Second Lien Debt</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10.75%</w:t>
            </w:r>
          </w:p>
        </w:tc>
        <w:tc>
          <w:tcPr>
            <w:tcW w:w="120" w:type="dxa"/>
            <w:vAlign w:val="bottom"/>
          </w:tcPr>
          <w:p>
            <w:pPr>
              <w:spacing w:after="0"/>
              <w:rPr>
                <w:sz w:val="12"/>
                <w:szCs w:val="12"/>
                <w:color w:val="auto"/>
              </w:rPr>
            </w:pPr>
          </w:p>
        </w:tc>
        <w:tc>
          <w:tcPr>
            <w:tcW w:w="88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1/27/2022</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3/2/2029</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2,683</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2,683</w:t>
            </w:r>
          </w:p>
        </w:tc>
        <w:tc>
          <w:tcPr>
            <w:tcW w:w="9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2,500</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+6.75%</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8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Inergex Holdings, LLC (19)</w:t>
            </w:r>
          </w:p>
        </w:tc>
        <w:tc>
          <w:tcPr>
            <w:tcW w:w="100" w:type="dxa"/>
            <w:vAlign w:val="bottom"/>
          </w:tcPr>
          <w:p>
            <w:pPr>
              <w:spacing w:after="0"/>
              <w:rPr>
                <w:sz w:val="12"/>
                <w:szCs w:val="12"/>
                <w:color w:val="auto"/>
              </w:rPr>
            </w:pPr>
          </w:p>
        </w:tc>
        <w:tc>
          <w:tcPr>
            <w:tcW w:w="17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Other Computer Related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Services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10.82%</w:t>
            </w: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10/1/2018</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10/1/2026</w:t>
            </w:r>
          </w:p>
        </w:tc>
        <w:tc>
          <w:tcPr>
            <w:tcW w:w="8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14,616</w:t>
            </w:r>
          </w:p>
        </w:tc>
        <w:tc>
          <w:tcPr>
            <w:tcW w:w="9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14,562</w:t>
            </w:r>
          </w:p>
        </w:tc>
        <w:tc>
          <w:tcPr>
            <w:tcW w:w="900" w:type="dxa"/>
            <w:vAlign w:val="bottom"/>
            <w:gridSpan w:val="2"/>
            <w:vMerge w:val="restart"/>
            <w:shd w:val="clear" w:color="auto" w:fill="CAEEFB"/>
          </w:tcPr>
          <w:p>
            <w:pPr>
              <w:jc w:val="right"/>
              <w:ind w:right="68"/>
              <w:spacing w:after="0"/>
              <w:rPr>
                <w:sz w:val="20"/>
                <w:szCs w:val="20"/>
                <w:color w:val="auto"/>
              </w:rPr>
            </w:pPr>
            <w:r>
              <w:rPr>
                <w:rFonts w:ascii="Times New Roman" w:cs="Times New Roman" w:eastAsia="Times New Roman" w:hAnsi="Times New Roman"/>
                <w:sz w:val="14"/>
                <w:szCs w:val="14"/>
                <w:color w:val="auto"/>
              </w:rPr>
              <w:t>14,616</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84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+7.00%</w:t>
            </w:r>
          </w:p>
        </w:tc>
        <w:tc>
          <w:tcPr>
            <w:tcW w:w="78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800" w:type="dxa"/>
            <w:vAlign w:val="bottom"/>
            <w:gridSpan w:val="2"/>
            <w:vMerge w:val="continue"/>
            <w:shd w:val="clear" w:color="auto" w:fill="CAEEFB"/>
          </w:tcPr>
          <w:p>
            <w:pPr>
              <w:spacing w:after="0"/>
              <w:rPr>
                <w:sz w:val="14"/>
                <w:szCs w:val="14"/>
                <w:color w:val="auto"/>
              </w:rPr>
            </w:pPr>
          </w:p>
        </w:tc>
        <w:tc>
          <w:tcPr>
            <w:tcW w:w="900" w:type="dxa"/>
            <w:vAlign w:val="bottom"/>
            <w:gridSpan w:val="2"/>
            <w:vMerge w:val="continue"/>
            <w:shd w:val="clear" w:color="auto" w:fill="CAEEFB"/>
          </w:tcPr>
          <w:p>
            <w:pPr>
              <w:spacing w:after="0"/>
              <w:rPr>
                <w:sz w:val="14"/>
                <w:szCs w:val="14"/>
                <w:color w:val="auto"/>
              </w:rPr>
            </w:pPr>
          </w:p>
        </w:tc>
        <w:tc>
          <w:tcPr>
            <w:tcW w:w="90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(Revolver)</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10.82%</w:t>
            </w:r>
          </w:p>
        </w:tc>
        <w:tc>
          <w:tcPr>
            <w:tcW w:w="120" w:type="dxa"/>
            <w:vAlign w:val="bottom"/>
          </w:tcPr>
          <w:p>
            <w:pPr>
              <w:spacing w:after="0"/>
              <w:rPr>
                <w:sz w:val="12"/>
                <w:szCs w:val="12"/>
                <w:color w:val="auto"/>
              </w:rPr>
            </w:pPr>
          </w:p>
        </w:tc>
        <w:tc>
          <w:tcPr>
            <w:tcW w:w="88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10/1/2018</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10/1/2026</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2,344</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2,344</w:t>
            </w:r>
          </w:p>
        </w:tc>
        <w:tc>
          <w:tcPr>
            <w:tcW w:w="9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2,344</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58"/>
        </w:trPr>
        <w:tc>
          <w:tcPr>
            <w:tcW w:w="2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0" w:type="dxa"/>
            <w:vAlign w:val="bottom"/>
            <w:gridSpan w:val="2"/>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+7.00%</w:t>
            </w:r>
          </w:p>
        </w:tc>
        <w:tc>
          <w:tcPr>
            <w:tcW w:w="78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17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72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88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40" w:type="dxa"/>
            <w:vAlign w:val="bottom"/>
            <w:shd w:val="clear" w:color="auto" w:fill="CAEEFB"/>
          </w:tcPr>
          <w:p>
            <w:pPr>
              <w:spacing w:after="0"/>
              <w:rPr>
                <w:sz w:val="13"/>
                <w:szCs w:val="13"/>
                <w:color w:val="auto"/>
              </w:rPr>
            </w:pPr>
          </w:p>
        </w:tc>
        <w:tc>
          <w:tcPr>
            <w:tcW w:w="660" w:type="dxa"/>
            <w:vAlign w:val="bottom"/>
            <w:tcBorders>
              <w:top w:val="single" w:sz="8" w:color="auto"/>
            </w:tcBorders>
            <w:shd w:val="clear" w:color="auto" w:fill="CAEEFB"/>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16,960</w:t>
            </w:r>
          </w:p>
        </w:tc>
        <w:tc>
          <w:tcPr>
            <w:tcW w:w="120" w:type="dxa"/>
            <w:vAlign w:val="bottom"/>
            <w:shd w:val="clear" w:color="auto" w:fill="CAEEFB"/>
          </w:tcPr>
          <w:p>
            <w:pPr>
              <w:spacing w:after="0"/>
              <w:rPr>
                <w:sz w:val="13"/>
                <w:szCs w:val="13"/>
                <w:color w:val="auto"/>
              </w:rPr>
            </w:pPr>
          </w:p>
        </w:tc>
        <w:tc>
          <w:tcPr>
            <w:tcW w:w="780" w:type="dxa"/>
            <w:vAlign w:val="bottom"/>
            <w:tcBorders>
              <w:top w:val="single" w:sz="8" w:color="auto"/>
            </w:tcBorders>
            <w:shd w:val="clear" w:color="auto" w:fill="CAEEFB"/>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16,906</w:t>
            </w:r>
          </w:p>
        </w:tc>
        <w:tc>
          <w:tcPr>
            <w:tcW w:w="100" w:type="dxa"/>
            <w:vAlign w:val="bottom"/>
            <w:shd w:val="clear" w:color="auto" w:fill="CAEEFB"/>
          </w:tcPr>
          <w:p>
            <w:pPr>
              <w:spacing w:after="0"/>
              <w:rPr>
                <w:sz w:val="13"/>
                <w:szCs w:val="13"/>
                <w:color w:val="auto"/>
              </w:rPr>
            </w:pPr>
          </w:p>
        </w:tc>
        <w:tc>
          <w:tcPr>
            <w:tcW w:w="800" w:type="dxa"/>
            <w:vAlign w:val="bottom"/>
            <w:tcBorders>
              <w:top w:val="single" w:sz="8" w:color="auto"/>
            </w:tcBorders>
            <w:shd w:val="clear" w:color="auto" w:fill="CAEEFB"/>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16,960</w:t>
            </w:r>
          </w:p>
        </w:tc>
        <w:tc>
          <w:tcPr>
            <w:tcW w:w="100" w:type="dxa"/>
            <w:vAlign w:val="bottom"/>
            <w:shd w:val="clear" w:color="auto" w:fill="CAEEFB"/>
          </w:tcPr>
          <w:p>
            <w:pPr>
              <w:spacing w:after="0"/>
              <w:rPr>
                <w:sz w:val="13"/>
                <w:szCs w:val="13"/>
                <w:color w:val="auto"/>
              </w:rPr>
            </w:pPr>
          </w:p>
        </w:tc>
        <w:tc>
          <w:tcPr>
            <w:tcW w:w="760" w:type="dxa"/>
            <w:vAlign w:val="bottom"/>
            <w:tcBorders>
              <w:top w:val="single" w:sz="8" w:color="auto"/>
            </w:tcBorders>
            <w:shd w:val="clear" w:color="auto" w:fill="CAEEFB"/>
          </w:tcPr>
          <w:p>
            <w:pPr>
              <w:jc w:val="right"/>
              <w:spacing w:after="0" w:line="155" w:lineRule="exact"/>
              <w:rPr>
                <w:sz w:val="20"/>
                <w:szCs w:val="20"/>
                <w:color w:val="auto"/>
              </w:rPr>
            </w:pPr>
            <w:r>
              <w:rPr>
                <w:rFonts w:ascii="Times New Roman" w:cs="Times New Roman" w:eastAsia="Times New Roman" w:hAnsi="Times New Roman"/>
                <w:sz w:val="14"/>
                <w:szCs w:val="14"/>
                <w:color w:val="auto"/>
              </w:rPr>
              <w:t>13.9 %</w:t>
            </w: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Integrated Energy Services, LLC</w:t>
            </w:r>
          </w:p>
        </w:tc>
        <w:tc>
          <w:tcPr>
            <w:tcW w:w="100" w:type="dxa"/>
            <w:vAlign w:val="bottom"/>
          </w:tcPr>
          <w:p>
            <w:pPr>
              <w:spacing w:after="0"/>
              <w:rPr>
                <w:sz w:val="12"/>
                <w:szCs w:val="12"/>
                <w:color w:val="auto"/>
              </w:rPr>
            </w:pPr>
          </w:p>
        </w:tc>
        <w:tc>
          <w:tcPr>
            <w:tcW w:w="17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Computer Systems Design</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Services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9.20%</w:t>
            </w: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12/18/2025</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12/19/2030</w:t>
            </w:r>
          </w:p>
        </w:tc>
        <w:tc>
          <w:tcPr>
            <w:tcW w:w="8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525</w:t>
            </w:r>
          </w:p>
        </w:tc>
        <w:tc>
          <w:tcPr>
            <w:tcW w:w="9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516</w:t>
            </w:r>
          </w:p>
        </w:tc>
        <w:tc>
          <w:tcPr>
            <w:tcW w:w="900" w:type="dxa"/>
            <w:vAlign w:val="bottom"/>
            <w:gridSpan w:val="2"/>
            <w:vMerge w:val="restart"/>
            <w:shd w:val="clear" w:color="auto" w:fill="CAEEFB"/>
          </w:tcPr>
          <w:p>
            <w:pPr>
              <w:jc w:val="right"/>
              <w:ind w:right="68"/>
              <w:spacing w:after="0"/>
              <w:rPr>
                <w:sz w:val="20"/>
                <w:szCs w:val="20"/>
                <w:color w:val="auto"/>
              </w:rPr>
            </w:pPr>
            <w:r>
              <w:rPr>
                <w:rFonts w:ascii="Times New Roman" w:cs="Times New Roman" w:eastAsia="Times New Roman" w:hAnsi="Times New Roman"/>
                <w:sz w:val="14"/>
                <w:szCs w:val="14"/>
                <w:color w:val="auto"/>
              </w:rPr>
              <w:t>516</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84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+5.50%</w:t>
            </w:r>
          </w:p>
        </w:tc>
        <w:tc>
          <w:tcPr>
            <w:tcW w:w="78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800" w:type="dxa"/>
            <w:vAlign w:val="bottom"/>
            <w:gridSpan w:val="2"/>
            <w:vMerge w:val="continue"/>
            <w:shd w:val="clear" w:color="auto" w:fill="CAEEFB"/>
          </w:tcPr>
          <w:p>
            <w:pPr>
              <w:spacing w:after="0"/>
              <w:rPr>
                <w:sz w:val="14"/>
                <w:szCs w:val="14"/>
                <w:color w:val="auto"/>
              </w:rPr>
            </w:pPr>
          </w:p>
        </w:tc>
        <w:tc>
          <w:tcPr>
            <w:tcW w:w="900" w:type="dxa"/>
            <w:vAlign w:val="bottom"/>
            <w:gridSpan w:val="2"/>
            <w:vMerge w:val="continue"/>
            <w:shd w:val="clear" w:color="auto" w:fill="CAEEFB"/>
          </w:tcPr>
          <w:p>
            <w:pPr>
              <w:spacing w:after="0"/>
              <w:rPr>
                <w:sz w:val="14"/>
                <w:szCs w:val="14"/>
                <w:color w:val="auto"/>
              </w:rPr>
            </w:pPr>
          </w:p>
        </w:tc>
        <w:tc>
          <w:tcPr>
            <w:tcW w:w="90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(Delayed Draw) (5)</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n/m (18)</w:t>
            </w:r>
          </w:p>
        </w:tc>
        <w:tc>
          <w:tcPr>
            <w:tcW w:w="120" w:type="dxa"/>
            <w:vAlign w:val="bottom"/>
          </w:tcPr>
          <w:p>
            <w:pPr>
              <w:spacing w:after="0"/>
              <w:rPr>
                <w:sz w:val="12"/>
                <w:szCs w:val="12"/>
                <w:color w:val="auto"/>
              </w:rPr>
            </w:pPr>
          </w:p>
        </w:tc>
        <w:tc>
          <w:tcPr>
            <w:tcW w:w="88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12/18/2025</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12/19/2030</w:t>
            </w:r>
          </w:p>
        </w:tc>
        <w:tc>
          <w:tcPr>
            <w:tcW w:w="14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+5.50%</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20" w:type="dxa"/>
            <w:vAlign w:val="bottom"/>
            <w:vMerge w:val="restart"/>
            <w:shd w:val="clear" w:color="auto" w:fill="CAEEFB"/>
          </w:tcPr>
          <w:p>
            <w:pPr>
              <w:jc w:val="center"/>
              <w:spacing w:after="0"/>
              <w:rPr>
                <w:sz w:val="20"/>
                <w:szCs w:val="20"/>
                <w:color w:val="auto"/>
              </w:rPr>
            </w:pPr>
            <w:r>
              <w:rPr>
                <w:rFonts w:ascii="Times New Roman" w:cs="Times New Roman" w:eastAsia="Times New Roman" w:hAnsi="Times New Roman"/>
                <w:sz w:val="14"/>
                <w:szCs w:val="14"/>
                <w:color w:val="auto"/>
              </w:rPr>
              <w:t>n/m (18)</w:t>
            </w: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12/18/2025</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12/19/2030</w:t>
            </w:r>
          </w:p>
        </w:tc>
        <w:tc>
          <w:tcPr>
            <w:tcW w:w="14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AEEFB"/>
          </w:tcPr>
          <w:p>
            <w:pPr>
              <w:spacing w:after="0"/>
              <w:rPr>
                <w:sz w:val="12"/>
                <w:szCs w:val="12"/>
                <w:color w:val="auto"/>
              </w:rPr>
            </w:pPr>
          </w:p>
        </w:tc>
        <w:tc>
          <w:tcPr>
            <w:tcW w:w="78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vMerge w:val="restart"/>
            <w:shd w:val="clear" w:color="auto" w:fill="CAEEFB"/>
          </w:tcPr>
          <w:p>
            <w:pPr>
              <w:spacing w:after="0"/>
              <w:rPr>
                <w:sz w:val="12"/>
                <w:szCs w:val="12"/>
                <w:color w:val="auto"/>
              </w:rPr>
            </w:pPr>
          </w:p>
        </w:tc>
        <w:tc>
          <w:tcPr>
            <w:tcW w:w="80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AEEFB"/>
          </w:tcPr>
          <w:p>
            <w:pPr>
              <w:spacing w:after="0"/>
              <w:rPr>
                <w:sz w:val="12"/>
                <w:szCs w:val="12"/>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8"/>
        </w:trPr>
        <w:tc>
          <w:tcPr>
            <w:tcW w:w="2540" w:type="dxa"/>
            <w:vAlign w:val="bottom"/>
            <w:tcBorders>
              <w:bottom w:val="single" w:sz="8" w:color="CAEEFB"/>
            </w:tcBorders>
            <w:vMerge w:val="continue"/>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1760" w:type="dxa"/>
            <w:vAlign w:val="bottom"/>
            <w:tcBorders>
              <w:bottom w:val="single" w:sz="8" w:color="CAEEFB"/>
            </w:tcBorders>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720" w:type="dxa"/>
            <w:vAlign w:val="bottom"/>
            <w:tcBorders>
              <w:bottom w:val="single" w:sz="8" w:color="CAEEFB"/>
            </w:tcBorders>
            <w:vMerge w:val="continue"/>
            <w:shd w:val="clear" w:color="auto" w:fill="CAEEFB"/>
          </w:tcPr>
          <w:p>
            <w:pPr>
              <w:spacing w:after="0"/>
              <w:rPr>
                <w:sz w:val="13"/>
                <w:szCs w:val="13"/>
                <w:color w:val="auto"/>
              </w:rPr>
            </w:pPr>
          </w:p>
        </w:tc>
        <w:tc>
          <w:tcPr>
            <w:tcW w:w="1000" w:type="dxa"/>
            <w:vAlign w:val="bottom"/>
            <w:tcBorders>
              <w:bottom w:val="single" w:sz="8" w:color="CAEEFB"/>
            </w:tcBorders>
            <w:gridSpan w:val="2"/>
            <w:shd w:val="clear" w:color="auto" w:fill="CAEEFB"/>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+5.50%</w:t>
            </w:r>
          </w:p>
        </w:tc>
        <w:tc>
          <w:tcPr>
            <w:tcW w:w="780" w:type="dxa"/>
            <w:vAlign w:val="bottom"/>
            <w:tcBorders>
              <w:bottom w:val="single" w:sz="8" w:color="CAEEFB"/>
            </w:tcBorders>
            <w:gridSpan w:val="2"/>
            <w:vMerge w:val="continue"/>
            <w:shd w:val="clear" w:color="auto" w:fill="CAEEFB"/>
          </w:tcPr>
          <w:p>
            <w:pPr>
              <w:spacing w:after="0"/>
              <w:rPr>
                <w:sz w:val="13"/>
                <w:szCs w:val="13"/>
                <w:color w:val="auto"/>
              </w:rPr>
            </w:pPr>
          </w:p>
        </w:tc>
        <w:tc>
          <w:tcPr>
            <w:tcW w:w="780" w:type="dxa"/>
            <w:vAlign w:val="bottom"/>
            <w:tcBorders>
              <w:bottom w:val="single" w:sz="8" w:color="CAEEFB"/>
            </w:tcBorders>
            <w:gridSpan w:val="2"/>
            <w:vMerge w:val="continue"/>
            <w:shd w:val="clear" w:color="auto" w:fill="CAEEFB"/>
          </w:tcPr>
          <w:p>
            <w:pPr>
              <w:spacing w:after="0"/>
              <w:rPr>
                <w:sz w:val="13"/>
                <w:szCs w:val="13"/>
                <w:color w:val="auto"/>
              </w:rPr>
            </w:pPr>
          </w:p>
        </w:tc>
        <w:tc>
          <w:tcPr>
            <w:tcW w:w="140" w:type="dxa"/>
            <w:vAlign w:val="bottom"/>
            <w:tcBorders>
              <w:bottom w:val="single" w:sz="8" w:color="CAEEFB"/>
            </w:tcBorders>
            <w:shd w:val="clear" w:color="auto" w:fill="CAEEFB"/>
          </w:tcPr>
          <w:p>
            <w:pPr>
              <w:spacing w:after="0"/>
              <w:rPr>
                <w:sz w:val="13"/>
                <w:szCs w:val="13"/>
                <w:color w:val="auto"/>
              </w:rPr>
            </w:pPr>
          </w:p>
        </w:tc>
        <w:tc>
          <w:tcPr>
            <w:tcW w:w="660" w:type="dxa"/>
            <w:vAlign w:val="bottom"/>
            <w:tcBorders>
              <w:bottom w:val="single" w:sz="8" w:color="auto"/>
            </w:tcBorders>
            <w:vMerge w:val="continue"/>
            <w:shd w:val="clear" w:color="auto" w:fill="CAEEFB"/>
          </w:tcPr>
          <w:p>
            <w:pPr>
              <w:spacing w:after="0"/>
              <w:rPr>
                <w:sz w:val="13"/>
                <w:szCs w:val="13"/>
                <w:color w:val="auto"/>
              </w:rPr>
            </w:pPr>
          </w:p>
        </w:tc>
        <w:tc>
          <w:tcPr>
            <w:tcW w:w="12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80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760" w:type="dxa"/>
            <w:vAlign w:val="bottom"/>
            <w:tcBorders>
              <w:bottom w:val="single" w:sz="8" w:color="auto"/>
            </w:tcBorders>
            <w:vMerge w:val="continue"/>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525</w:t>
            </w:r>
          </w:p>
        </w:tc>
        <w:tc>
          <w:tcPr>
            <w:tcW w:w="9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508</w:t>
            </w:r>
          </w:p>
        </w:tc>
        <w:tc>
          <w:tcPr>
            <w:tcW w:w="90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508</w:t>
            </w:r>
          </w:p>
        </w:tc>
        <w:tc>
          <w:tcPr>
            <w:tcW w:w="8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39"/>
        </w:trPr>
        <w:tc>
          <w:tcPr>
            <w:tcW w:w="25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line="139" w:lineRule="exact"/>
              <w:rPr>
                <w:sz w:val="20"/>
                <w:szCs w:val="20"/>
                <w:color w:val="auto"/>
              </w:rPr>
            </w:pPr>
            <w:r>
              <w:rPr>
                <w:rFonts w:ascii="Times New Roman" w:cs="Times New Roman" w:eastAsia="Times New Roman" w:hAnsi="Times New Roman"/>
                <w:sz w:val="14"/>
                <w:szCs w:val="14"/>
                <w:color w:val="auto"/>
              </w:rPr>
              <w:t>Drugs and Druggists'</w:t>
            </w: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8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JP Intermediate B, LLC</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color w:val="auto"/>
              </w:rPr>
              <w:t>Sundries Merchant</w:t>
            </w: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8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Wholesalers</w:t>
            </w: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8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10.67%</w:t>
            </w:r>
          </w:p>
        </w:tc>
        <w:tc>
          <w:tcPr>
            <w:tcW w:w="120" w:type="dxa"/>
            <w:vAlign w:val="bottom"/>
          </w:tcPr>
          <w:p>
            <w:pPr>
              <w:spacing w:after="0"/>
              <w:rPr>
                <w:sz w:val="12"/>
                <w:szCs w:val="12"/>
                <w:color w:val="auto"/>
              </w:rPr>
            </w:pPr>
          </w:p>
        </w:tc>
        <w:tc>
          <w:tcPr>
            <w:tcW w:w="88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10/2/2025</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9/30/2030</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335</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335</w:t>
            </w:r>
          </w:p>
        </w:tc>
        <w:tc>
          <w:tcPr>
            <w:tcW w:w="9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335</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+7.00%</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jc w:val="center"/>
              <w:spacing w:after="0" w:line="139" w:lineRule="exact"/>
              <w:rPr>
                <w:sz w:val="20"/>
                <w:szCs w:val="20"/>
                <w:color w:val="auto"/>
              </w:rPr>
            </w:pPr>
            <w:r>
              <w:rPr>
                <w:rFonts w:ascii="Times New Roman" w:cs="Times New Roman" w:eastAsia="Times New Roman" w:hAnsi="Times New Roman"/>
                <w:sz w:val="14"/>
                <w:szCs w:val="14"/>
                <w:color w:val="auto"/>
              </w:rPr>
              <w:t>5.17% cash</w:t>
            </w:r>
          </w:p>
        </w:tc>
        <w:tc>
          <w:tcPr>
            <w:tcW w:w="120" w:type="dxa"/>
            <w:vAlign w:val="bottom"/>
            <w:shd w:val="clear" w:color="auto" w:fill="CAEEFB"/>
          </w:tcPr>
          <w:p>
            <w:pPr>
              <w:spacing w:after="0"/>
              <w:rPr>
                <w:sz w:val="12"/>
                <w:szCs w:val="12"/>
                <w:color w:val="auto"/>
              </w:rPr>
            </w:pPr>
          </w:p>
        </w:tc>
        <w:tc>
          <w:tcPr>
            <w:tcW w:w="880" w:type="dxa"/>
            <w:vAlign w:val="bottom"/>
            <w:vMerge w:val="restart"/>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SOFR</w:t>
            </w: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8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(11)</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shd w:val="clear" w:color="auto" w:fill="CAEEFB"/>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 4.00%</w:t>
            </w:r>
          </w:p>
        </w:tc>
        <w:tc>
          <w:tcPr>
            <w:tcW w:w="120" w:type="dxa"/>
            <w:vAlign w:val="bottom"/>
            <w:shd w:val="clear" w:color="auto" w:fill="CAEEFB"/>
          </w:tcPr>
          <w:p>
            <w:pPr>
              <w:spacing w:after="0"/>
              <w:rPr>
                <w:sz w:val="12"/>
                <w:szCs w:val="12"/>
                <w:color w:val="auto"/>
              </w:rPr>
            </w:pPr>
          </w:p>
        </w:tc>
        <w:tc>
          <w:tcPr>
            <w:tcW w:w="880" w:type="dxa"/>
            <w:vAlign w:val="bottom"/>
            <w:vMerge w:val="continue"/>
            <w:shd w:val="clear" w:color="auto" w:fill="CAEEFB"/>
          </w:tcPr>
          <w:p>
            <w:pPr>
              <w:spacing w:after="0"/>
              <w:rPr>
                <w:sz w:val="12"/>
                <w:szCs w:val="12"/>
                <w:color w:val="auto"/>
              </w:rPr>
            </w:pP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1/14/2021</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3/31/2031</w:t>
            </w:r>
          </w:p>
        </w:tc>
        <w:tc>
          <w:tcPr>
            <w:tcW w:w="8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1,499</w:t>
            </w:r>
          </w:p>
        </w:tc>
        <w:tc>
          <w:tcPr>
            <w:tcW w:w="9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1,499</w:t>
            </w:r>
          </w:p>
        </w:tc>
        <w:tc>
          <w:tcPr>
            <w:tcW w:w="900" w:type="dxa"/>
            <w:vAlign w:val="bottom"/>
            <w:gridSpan w:val="2"/>
            <w:vMerge w:val="restart"/>
            <w:shd w:val="clear" w:color="auto" w:fill="CAEEFB"/>
          </w:tcPr>
          <w:p>
            <w:pPr>
              <w:jc w:val="right"/>
              <w:ind w:right="68"/>
              <w:spacing w:after="0"/>
              <w:rPr>
                <w:sz w:val="20"/>
                <w:szCs w:val="20"/>
                <w:color w:val="auto"/>
              </w:rPr>
            </w:pPr>
            <w:r>
              <w:rPr>
                <w:rFonts w:ascii="Times New Roman" w:cs="Times New Roman" w:eastAsia="Times New Roman" w:hAnsi="Times New Roman"/>
                <w:sz w:val="14"/>
                <w:szCs w:val="14"/>
                <w:color w:val="auto"/>
              </w:rPr>
              <w:t>1,474</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jc w:val="center"/>
              <w:spacing w:after="0"/>
              <w:rPr>
                <w:sz w:val="20"/>
                <w:szCs w:val="20"/>
                <w:color w:val="auto"/>
              </w:rPr>
            </w:pPr>
            <w:r>
              <w:rPr>
                <w:rFonts w:ascii="Times New Roman" w:cs="Times New Roman" w:eastAsia="Times New Roman" w:hAnsi="Times New Roman"/>
                <w:sz w:val="14"/>
                <w:szCs w:val="14"/>
                <w:color w:val="auto"/>
                <w:w w:val="97"/>
              </w:rPr>
              <w:t>PIK</w:t>
            </w: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+5.50%</w:t>
            </w:r>
          </w:p>
        </w:tc>
        <w:tc>
          <w:tcPr>
            <w:tcW w:w="78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800" w:type="dxa"/>
            <w:vAlign w:val="bottom"/>
            <w:gridSpan w:val="2"/>
            <w:vMerge w:val="continue"/>
            <w:shd w:val="clear" w:color="auto" w:fill="CAEEFB"/>
          </w:tcPr>
          <w:p>
            <w:pPr>
              <w:spacing w:after="0"/>
              <w:rPr>
                <w:sz w:val="14"/>
                <w:szCs w:val="14"/>
                <w:color w:val="auto"/>
              </w:rPr>
            </w:pPr>
          </w:p>
        </w:tc>
        <w:tc>
          <w:tcPr>
            <w:tcW w:w="900" w:type="dxa"/>
            <w:vAlign w:val="bottom"/>
            <w:gridSpan w:val="2"/>
            <w:vMerge w:val="continue"/>
            <w:shd w:val="clear" w:color="auto" w:fill="CAEEFB"/>
          </w:tcPr>
          <w:p>
            <w:pPr>
              <w:spacing w:after="0"/>
              <w:rPr>
                <w:sz w:val="14"/>
                <w:szCs w:val="14"/>
                <w:color w:val="auto"/>
              </w:rPr>
            </w:pPr>
          </w:p>
        </w:tc>
        <w:tc>
          <w:tcPr>
            <w:tcW w:w="90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Common Equity (12,663 Units) (10) (15)</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9/30/2025</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2,992</w:t>
            </w:r>
          </w:p>
        </w:tc>
        <w:tc>
          <w:tcPr>
            <w:tcW w:w="10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5"/>
        </w:trPr>
        <w:tc>
          <w:tcPr>
            <w:tcW w:w="254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17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72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88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40" w:type="dxa"/>
            <w:vAlign w:val="bottom"/>
            <w:shd w:val="clear" w:color="auto" w:fill="CAEEFB"/>
          </w:tcPr>
          <w:p>
            <w:pPr>
              <w:spacing w:after="0"/>
              <w:rPr>
                <w:sz w:val="13"/>
                <w:szCs w:val="13"/>
                <w:color w:val="auto"/>
              </w:rPr>
            </w:pPr>
          </w:p>
        </w:tc>
        <w:tc>
          <w:tcPr>
            <w:tcW w:w="660" w:type="dxa"/>
            <w:vAlign w:val="bottom"/>
            <w:tcBorders>
              <w:top w:val="single" w:sz="8" w:color="auto"/>
            </w:tcBorders>
            <w:shd w:val="clear" w:color="auto" w:fill="CAEEFB"/>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1,834</w:t>
            </w:r>
          </w:p>
        </w:tc>
        <w:tc>
          <w:tcPr>
            <w:tcW w:w="120" w:type="dxa"/>
            <w:vAlign w:val="bottom"/>
            <w:shd w:val="clear" w:color="auto" w:fill="CAEEFB"/>
          </w:tcPr>
          <w:p>
            <w:pPr>
              <w:spacing w:after="0"/>
              <w:rPr>
                <w:sz w:val="13"/>
                <w:szCs w:val="13"/>
                <w:color w:val="auto"/>
              </w:rPr>
            </w:pPr>
          </w:p>
        </w:tc>
        <w:tc>
          <w:tcPr>
            <w:tcW w:w="780" w:type="dxa"/>
            <w:vAlign w:val="bottom"/>
            <w:tcBorders>
              <w:top w:val="single" w:sz="8" w:color="auto"/>
            </w:tcBorders>
            <w:shd w:val="clear" w:color="auto" w:fill="CAEEFB"/>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4,826</w:t>
            </w:r>
          </w:p>
        </w:tc>
        <w:tc>
          <w:tcPr>
            <w:tcW w:w="100" w:type="dxa"/>
            <w:vAlign w:val="bottom"/>
            <w:shd w:val="clear" w:color="auto" w:fill="CAEEFB"/>
          </w:tcPr>
          <w:p>
            <w:pPr>
              <w:spacing w:after="0"/>
              <w:rPr>
                <w:sz w:val="13"/>
                <w:szCs w:val="13"/>
                <w:color w:val="auto"/>
              </w:rPr>
            </w:pPr>
          </w:p>
        </w:tc>
        <w:tc>
          <w:tcPr>
            <w:tcW w:w="800" w:type="dxa"/>
            <w:vAlign w:val="bottom"/>
            <w:tcBorders>
              <w:top w:val="single" w:sz="8" w:color="auto"/>
            </w:tcBorders>
            <w:shd w:val="clear" w:color="auto" w:fill="CAEEFB"/>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1,809</w:t>
            </w:r>
          </w:p>
        </w:tc>
        <w:tc>
          <w:tcPr>
            <w:tcW w:w="100" w:type="dxa"/>
            <w:vAlign w:val="bottom"/>
            <w:shd w:val="clear" w:color="auto" w:fill="CAEEFB"/>
          </w:tcPr>
          <w:p>
            <w:pPr>
              <w:spacing w:after="0"/>
              <w:rPr>
                <w:sz w:val="13"/>
                <w:szCs w:val="13"/>
                <w:color w:val="auto"/>
              </w:rPr>
            </w:pPr>
          </w:p>
        </w:tc>
        <w:tc>
          <w:tcPr>
            <w:tcW w:w="760" w:type="dxa"/>
            <w:vAlign w:val="bottom"/>
            <w:tcBorders>
              <w:top w:val="single" w:sz="8" w:color="auto"/>
            </w:tcBorders>
            <w:shd w:val="clear" w:color="auto" w:fill="CAEEFB"/>
          </w:tcPr>
          <w:p>
            <w:pPr>
              <w:jc w:val="right"/>
              <w:spacing w:after="0" w:line="155" w:lineRule="exact"/>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Kreg LLC (20)</w:t>
            </w:r>
          </w:p>
        </w:tc>
        <w:tc>
          <w:tcPr>
            <w:tcW w:w="100" w:type="dxa"/>
            <w:vAlign w:val="bottom"/>
          </w:tcPr>
          <w:p>
            <w:pPr>
              <w:spacing w:after="0"/>
              <w:rPr>
                <w:sz w:val="12"/>
                <w:szCs w:val="12"/>
                <w:color w:val="auto"/>
              </w:rPr>
            </w:pPr>
          </w:p>
        </w:tc>
        <w:tc>
          <w:tcPr>
            <w:tcW w:w="17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Other Ambulatory Health</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Care Services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shd w:val="clear" w:color="auto" w:fill="CAEEFB"/>
          </w:tcPr>
          <w:p>
            <w:pPr>
              <w:jc w:val="center"/>
              <w:ind w:left="28"/>
              <w:spacing w:after="0" w:line="139" w:lineRule="exact"/>
              <w:rPr>
                <w:sz w:val="20"/>
                <w:szCs w:val="20"/>
                <w:color w:val="auto"/>
              </w:rPr>
            </w:pPr>
            <w:r>
              <w:rPr>
                <w:rFonts w:ascii="Times New Roman" w:cs="Times New Roman" w:eastAsia="Times New Roman" w:hAnsi="Times New Roman"/>
                <w:sz w:val="14"/>
                <w:szCs w:val="14"/>
                <w:color w:val="auto"/>
              </w:rPr>
              <w:t>10.07%</w:t>
            </w:r>
          </w:p>
        </w:tc>
        <w:tc>
          <w:tcPr>
            <w:tcW w:w="120" w:type="dxa"/>
            <w:vAlign w:val="bottom"/>
            <w:shd w:val="clear" w:color="auto" w:fill="CAEEFB"/>
          </w:tcPr>
          <w:p>
            <w:pPr>
              <w:spacing w:after="0"/>
              <w:rPr>
                <w:sz w:val="12"/>
                <w:szCs w:val="12"/>
                <w:color w:val="auto"/>
              </w:rPr>
            </w:pPr>
          </w:p>
        </w:tc>
        <w:tc>
          <w:tcPr>
            <w:tcW w:w="880" w:type="dxa"/>
            <w:vAlign w:val="bottom"/>
            <w:vMerge w:val="restart"/>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SOFR</w:t>
            </w: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8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(11) (15)</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jc w:val="center"/>
              <w:spacing w:after="0" w:line="149" w:lineRule="exact"/>
              <w:rPr>
                <w:sz w:val="20"/>
                <w:szCs w:val="20"/>
                <w:color w:val="auto"/>
              </w:rPr>
            </w:pPr>
            <w:r>
              <w:rPr>
                <w:rFonts w:ascii="Times New Roman" w:cs="Times New Roman" w:eastAsia="Times New Roman" w:hAnsi="Times New Roman"/>
                <w:sz w:val="14"/>
                <w:szCs w:val="14"/>
                <w:color w:val="auto"/>
              </w:rPr>
              <w:t>cash /</w:t>
            </w:r>
          </w:p>
        </w:tc>
        <w:tc>
          <w:tcPr>
            <w:tcW w:w="120" w:type="dxa"/>
            <w:vAlign w:val="bottom"/>
            <w:shd w:val="clear" w:color="auto" w:fill="CAEEFB"/>
          </w:tcPr>
          <w:p>
            <w:pPr>
              <w:spacing w:after="0"/>
              <w:rPr>
                <w:sz w:val="12"/>
                <w:szCs w:val="12"/>
                <w:color w:val="auto"/>
              </w:rPr>
            </w:pPr>
          </w:p>
        </w:tc>
        <w:tc>
          <w:tcPr>
            <w:tcW w:w="880" w:type="dxa"/>
            <w:vAlign w:val="bottom"/>
            <w:vMerge w:val="continue"/>
            <w:shd w:val="clear" w:color="auto" w:fill="CAEEFB"/>
          </w:tcPr>
          <w:p>
            <w:pPr>
              <w:spacing w:after="0"/>
              <w:rPr>
                <w:sz w:val="12"/>
                <w:szCs w:val="12"/>
                <w:color w:val="auto"/>
              </w:rPr>
            </w:pP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12/20/2021</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12/20/2026</w:t>
            </w:r>
          </w:p>
        </w:tc>
        <w:tc>
          <w:tcPr>
            <w:tcW w:w="8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17,256</w:t>
            </w:r>
          </w:p>
        </w:tc>
        <w:tc>
          <w:tcPr>
            <w:tcW w:w="9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17,233</w:t>
            </w:r>
          </w:p>
        </w:tc>
        <w:tc>
          <w:tcPr>
            <w:tcW w:w="900" w:type="dxa"/>
            <w:vAlign w:val="bottom"/>
            <w:gridSpan w:val="2"/>
            <w:vMerge w:val="restart"/>
            <w:shd w:val="clear" w:color="auto" w:fill="CAEEFB"/>
          </w:tcPr>
          <w:p>
            <w:pPr>
              <w:jc w:val="right"/>
              <w:ind w:right="68"/>
              <w:spacing w:after="0"/>
              <w:rPr>
                <w:sz w:val="20"/>
                <w:szCs w:val="20"/>
                <w:color w:val="auto"/>
              </w:rPr>
            </w:pPr>
            <w:r>
              <w:rPr>
                <w:rFonts w:ascii="Times New Roman" w:cs="Times New Roman" w:eastAsia="Times New Roman" w:hAnsi="Times New Roman"/>
                <w:sz w:val="14"/>
                <w:szCs w:val="14"/>
                <w:color w:val="auto"/>
              </w:rPr>
              <w:t>16,773</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jc w:val="center"/>
              <w:spacing w:after="0"/>
              <w:rPr>
                <w:sz w:val="20"/>
                <w:szCs w:val="20"/>
                <w:color w:val="auto"/>
              </w:rPr>
            </w:pPr>
            <w:r>
              <w:rPr>
                <w:rFonts w:ascii="Times New Roman" w:cs="Times New Roman" w:eastAsia="Times New Roman" w:hAnsi="Times New Roman"/>
                <w:sz w:val="14"/>
                <w:szCs w:val="14"/>
                <w:color w:val="auto"/>
              </w:rPr>
              <w:t>0.50% PIK</w:t>
            </w: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+6.25%</w:t>
            </w:r>
          </w:p>
        </w:tc>
        <w:tc>
          <w:tcPr>
            <w:tcW w:w="78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800" w:type="dxa"/>
            <w:vAlign w:val="bottom"/>
            <w:gridSpan w:val="2"/>
            <w:vMerge w:val="continue"/>
            <w:shd w:val="clear" w:color="auto" w:fill="CAEEFB"/>
          </w:tcPr>
          <w:p>
            <w:pPr>
              <w:spacing w:after="0"/>
              <w:rPr>
                <w:sz w:val="14"/>
                <w:szCs w:val="14"/>
                <w:color w:val="auto"/>
              </w:rPr>
            </w:pPr>
          </w:p>
        </w:tc>
        <w:tc>
          <w:tcPr>
            <w:tcW w:w="900" w:type="dxa"/>
            <w:vAlign w:val="bottom"/>
            <w:gridSpan w:val="2"/>
            <w:vMerge w:val="continue"/>
            <w:shd w:val="clear" w:color="auto" w:fill="CAEEFB"/>
          </w:tcPr>
          <w:p>
            <w:pPr>
              <w:spacing w:after="0"/>
              <w:rPr>
                <w:sz w:val="14"/>
                <w:szCs w:val="14"/>
                <w:color w:val="auto"/>
              </w:rPr>
            </w:pPr>
          </w:p>
        </w:tc>
        <w:tc>
          <w:tcPr>
            <w:tcW w:w="90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10.09%</w:t>
            </w:r>
          </w:p>
        </w:tc>
        <w:tc>
          <w:tcPr>
            <w:tcW w:w="120" w:type="dxa"/>
            <w:vAlign w:val="bottom"/>
          </w:tcPr>
          <w:p>
            <w:pPr>
              <w:spacing w:after="0"/>
              <w:rPr>
                <w:sz w:val="10"/>
                <w:szCs w:val="10"/>
                <w:color w:val="auto"/>
              </w:rPr>
            </w:pPr>
          </w:p>
        </w:tc>
        <w:tc>
          <w:tcPr>
            <w:tcW w:w="880" w:type="dxa"/>
            <w:vAlign w:val="bottom"/>
          </w:tcPr>
          <w:p>
            <w:pPr>
              <w:jc w:val="right"/>
              <w:ind w:right="38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12/20/2021</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12/20/2026</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1,337</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1,335</w:t>
            </w:r>
          </w:p>
        </w:tc>
        <w:tc>
          <w:tcPr>
            <w:tcW w:w="9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1,300</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58"/>
        </w:trPr>
        <w:tc>
          <w:tcPr>
            <w:tcW w:w="2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0" w:type="dxa"/>
            <w:vAlign w:val="bottom"/>
            <w:gridSpan w:val="2"/>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+6.25%</w:t>
            </w:r>
          </w:p>
        </w:tc>
        <w:tc>
          <w:tcPr>
            <w:tcW w:w="78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4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17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72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88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40" w:type="dxa"/>
            <w:vAlign w:val="bottom"/>
            <w:shd w:val="clear" w:color="auto" w:fill="CAEEFB"/>
          </w:tcPr>
          <w:p>
            <w:pPr>
              <w:spacing w:after="0"/>
              <w:rPr>
                <w:sz w:val="13"/>
                <w:szCs w:val="13"/>
                <w:color w:val="auto"/>
              </w:rPr>
            </w:pPr>
          </w:p>
        </w:tc>
        <w:tc>
          <w:tcPr>
            <w:tcW w:w="660" w:type="dxa"/>
            <w:vAlign w:val="bottom"/>
            <w:tcBorders>
              <w:top w:val="single" w:sz="8" w:color="auto"/>
            </w:tcBorders>
            <w:shd w:val="clear" w:color="auto" w:fill="CAEEFB"/>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18,593</w:t>
            </w:r>
          </w:p>
        </w:tc>
        <w:tc>
          <w:tcPr>
            <w:tcW w:w="120" w:type="dxa"/>
            <w:vAlign w:val="bottom"/>
            <w:shd w:val="clear" w:color="auto" w:fill="CAEEFB"/>
          </w:tcPr>
          <w:p>
            <w:pPr>
              <w:spacing w:after="0"/>
              <w:rPr>
                <w:sz w:val="13"/>
                <w:szCs w:val="13"/>
                <w:color w:val="auto"/>
              </w:rPr>
            </w:pPr>
          </w:p>
        </w:tc>
        <w:tc>
          <w:tcPr>
            <w:tcW w:w="780" w:type="dxa"/>
            <w:vAlign w:val="bottom"/>
            <w:tcBorders>
              <w:top w:val="single" w:sz="8" w:color="auto"/>
            </w:tcBorders>
            <w:shd w:val="clear" w:color="auto" w:fill="CAEEFB"/>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18,568</w:t>
            </w:r>
          </w:p>
        </w:tc>
        <w:tc>
          <w:tcPr>
            <w:tcW w:w="100" w:type="dxa"/>
            <w:vAlign w:val="bottom"/>
            <w:shd w:val="clear" w:color="auto" w:fill="CAEEFB"/>
          </w:tcPr>
          <w:p>
            <w:pPr>
              <w:spacing w:after="0"/>
              <w:rPr>
                <w:sz w:val="13"/>
                <w:szCs w:val="13"/>
                <w:color w:val="auto"/>
              </w:rPr>
            </w:pPr>
          </w:p>
        </w:tc>
        <w:tc>
          <w:tcPr>
            <w:tcW w:w="800" w:type="dxa"/>
            <w:vAlign w:val="bottom"/>
            <w:tcBorders>
              <w:top w:val="single" w:sz="8" w:color="auto"/>
            </w:tcBorders>
            <w:shd w:val="clear" w:color="auto" w:fill="CAEEFB"/>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18,073</w:t>
            </w:r>
          </w:p>
        </w:tc>
        <w:tc>
          <w:tcPr>
            <w:tcW w:w="100" w:type="dxa"/>
            <w:vAlign w:val="bottom"/>
            <w:shd w:val="clear" w:color="auto" w:fill="CAEEFB"/>
          </w:tcPr>
          <w:p>
            <w:pPr>
              <w:spacing w:after="0"/>
              <w:rPr>
                <w:sz w:val="13"/>
                <w:szCs w:val="13"/>
                <w:color w:val="auto"/>
              </w:rPr>
            </w:pPr>
          </w:p>
        </w:tc>
        <w:tc>
          <w:tcPr>
            <w:tcW w:w="760" w:type="dxa"/>
            <w:vAlign w:val="bottom"/>
            <w:tcBorders>
              <w:top w:val="single" w:sz="8" w:color="auto"/>
            </w:tcBorders>
            <w:shd w:val="clear" w:color="auto" w:fill="CAEEFB"/>
          </w:tcPr>
          <w:p>
            <w:pPr>
              <w:jc w:val="right"/>
              <w:spacing w:after="0" w:line="155" w:lineRule="exact"/>
              <w:rPr>
                <w:sz w:val="20"/>
                <w:szCs w:val="20"/>
                <w:color w:val="auto"/>
              </w:rPr>
            </w:pPr>
            <w:r>
              <w:rPr>
                <w:rFonts w:ascii="Times New Roman" w:cs="Times New Roman" w:eastAsia="Times New Roman" w:hAnsi="Times New Roman"/>
                <w:sz w:val="14"/>
                <w:szCs w:val="14"/>
                <w:color w:val="auto"/>
              </w:rPr>
              <w:t>14.7 %</w:t>
            </w: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M2S Group Intermediate Holdings Inc.</w:t>
            </w:r>
          </w:p>
        </w:tc>
        <w:tc>
          <w:tcPr>
            <w:tcW w:w="100" w:type="dxa"/>
            <w:vAlign w:val="bottom"/>
          </w:tcPr>
          <w:p>
            <w:pPr>
              <w:spacing w:after="0"/>
              <w:rPr>
                <w:sz w:val="12"/>
                <w:szCs w:val="12"/>
                <w:color w:val="auto"/>
              </w:rPr>
            </w:pPr>
          </w:p>
        </w:tc>
        <w:tc>
          <w:tcPr>
            <w:tcW w:w="17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Plastics Packaging Film and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Sheet (including Laminated)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(14) (15)</w:t>
            </w:r>
          </w:p>
        </w:tc>
        <w:tc>
          <w:tcPr>
            <w:tcW w:w="100" w:type="dxa"/>
            <w:vAlign w:val="bottom"/>
          </w:tcPr>
          <w:p>
            <w:pPr>
              <w:spacing w:after="0"/>
              <w:rPr>
                <w:sz w:val="15"/>
                <w:szCs w:val="15"/>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Manufacturing</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8.59%</w:t>
            </w: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10/28/2025</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8/25/2031</w:t>
            </w:r>
          </w:p>
        </w:tc>
        <w:tc>
          <w:tcPr>
            <w:tcW w:w="8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1,500</w:t>
            </w:r>
          </w:p>
        </w:tc>
        <w:tc>
          <w:tcPr>
            <w:tcW w:w="9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1,483</w:t>
            </w:r>
          </w:p>
        </w:tc>
        <w:tc>
          <w:tcPr>
            <w:tcW w:w="900" w:type="dxa"/>
            <w:vAlign w:val="bottom"/>
            <w:gridSpan w:val="2"/>
            <w:vMerge w:val="restart"/>
            <w:shd w:val="clear" w:color="auto" w:fill="CAEEFB"/>
          </w:tcPr>
          <w:p>
            <w:pPr>
              <w:jc w:val="right"/>
              <w:ind w:right="68"/>
              <w:spacing w:after="0"/>
              <w:rPr>
                <w:sz w:val="20"/>
                <w:szCs w:val="20"/>
                <w:color w:val="auto"/>
              </w:rPr>
            </w:pPr>
            <w:r>
              <w:rPr>
                <w:rFonts w:ascii="Times New Roman" w:cs="Times New Roman" w:eastAsia="Times New Roman" w:hAnsi="Times New Roman"/>
                <w:sz w:val="14"/>
                <w:szCs w:val="14"/>
                <w:color w:val="auto"/>
              </w:rPr>
              <w:t>1,493</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84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+4.75%</w:t>
            </w:r>
          </w:p>
        </w:tc>
        <w:tc>
          <w:tcPr>
            <w:tcW w:w="78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800" w:type="dxa"/>
            <w:vAlign w:val="bottom"/>
            <w:gridSpan w:val="2"/>
            <w:vMerge w:val="continue"/>
            <w:shd w:val="clear" w:color="auto" w:fill="CAEEFB"/>
          </w:tcPr>
          <w:p>
            <w:pPr>
              <w:spacing w:after="0"/>
              <w:rPr>
                <w:sz w:val="14"/>
                <w:szCs w:val="14"/>
                <w:color w:val="auto"/>
              </w:rPr>
            </w:pPr>
          </w:p>
        </w:tc>
        <w:tc>
          <w:tcPr>
            <w:tcW w:w="900" w:type="dxa"/>
            <w:vAlign w:val="bottom"/>
            <w:gridSpan w:val="2"/>
            <w:vMerge w:val="continue"/>
            <w:shd w:val="clear" w:color="auto" w:fill="CAEEFB"/>
          </w:tcPr>
          <w:p>
            <w:pPr>
              <w:spacing w:after="0"/>
              <w:rPr>
                <w:sz w:val="14"/>
                <w:szCs w:val="14"/>
                <w:color w:val="auto"/>
              </w:rPr>
            </w:pPr>
          </w:p>
        </w:tc>
        <w:tc>
          <w:tcPr>
            <w:tcW w:w="90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Medrina LLC</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line="139" w:lineRule="exact"/>
              <w:rPr>
                <w:sz w:val="20"/>
                <w:szCs w:val="20"/>
                <w:color w:val="auto"/>
              </w:rPr>
            </w:pPr>
            <w:r>
              <w:rPr>
                <w:rFonts w:ascii="Times New Roman" w:cs="Times New Roman" w:eastAsia="Times New Roman" w:hAnsi="Times New Roman"/>
                <w:sz w:val="14"/>
                <w:szCs w:val="14"/>
                <w:color w:val="auto"/>
              </w:rPr>
              <w:t>All Other Outpatient Care</w:t>
            </w: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8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Centers</w:t>
            </w: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8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9.69%</w:t>
            </w:r>
          </w:p>
        </w:tc>
        <w:tc>
          <w:tcPr>
            <w:tcW w:w="120" w:type="dxa"/>
            <w:vAlign w:val="bottom"/>
          </w:tcPr>
          <w:p>
            <w:pPr>
              <w:spacing w:after="0"/>
              <w:rPr>
                <w:sz w:val="12"/>
                <w:szCs w:val="12"/>
                <w:color w:val="auto"/>
              </w:rPr>
            </w:pPr>
          </w:p>
        </w:tc>
        <w:tc>
          <w:tcPr>
            <w:tcW w:w="88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10/20/2023</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10/20/2029</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2,190</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2,155</w:t>
            </w:r>
          </w:p>
        </w:tc>
        <w:tc>
          <w:tcPr>
            <w:tcW w:w="9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2,190</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+6.00%</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10.22%</w:t>
            </w: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10/20/2023</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10/20/2029</w:t>
            </w:r>
          </w:p>
        </w:tc>
        <w:tc>
          <w:tcPr>
            <w:tcW w:w="8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367</w:t>
            </w:r>
          </w:p>
        </w:tc>
        <w:tc>
          <w:tcPr>
            <w:tcW w:w="9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364</w:t>
            </w:r>
          </w:p>
        </w:tc>
        <w:tc>
          <w:tcPr>
            <w:tcW w:w="900" w:type="dxa"/>
            <w:vAlign w:val="bottom"/>
            <w:gridSpan w:val="2"/>
            <w:vMerge w:val="restart"/>
            <w:shd w:val="clear" w:color="auto" w:fill="CAEEFB"/>
          </w:tcPr>
          <w:p>
            <w:pPr>
              <w:jc w:val="right"/>
              <w:ind w:right="68"/>
              <w:spacing w:after="0"/>
              <w:rPr>
                <w:sz w:val="20"/>
                <w:szCs w:val="20"/>
                <w:color w:val="auto"/>
              </w:rPr>
            </w:pPr>
            <w:r>
              <w:rPr>
                <w:rFonts w:ascii="Times New Roman" w:cs="Times New Roman" w:eastAsia="Times New Roman" w:hAnsi="Times New Roman"/>
                <w:sz w:val="14"/>
                <w:szCs w:val="14"/>
                <w:color w:val="auto"/>
              </w:rPr>
              <w:t>367</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84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+6.00%</w:t>
            </w:r>
          </w:p>
        </w:tc>
        <w:tc>
          <w:tcPr>
            <w:tcW w:w="78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800" w:type="dxa"/>
            <w:vAlign w:val="bottom"/>
            <w:gridSpan w:val="2"/>
            <w:vMerge w:val="continue"/>
            <w:shd w:val="clear" w:color="auto" w:fill="CAEEFB"/>
          </w:tcPr>
          <w:p>
            <w:pPr>
              <w:spacing w:after="0"/>
              <w:rPr>
                <w:sz w:val="14"/>
                <w:szCs w:val="14"/>
                <w:color w:val="auto"/>
              </w:rPr>
            </w:pPr>
          </w:p>
        </w:tc>
        <w:tc>
          <w:tcPr>
            <w:tcW w:w="900" w:type="dxa"/>
            <w:vAlign w:val="bottom"/>
            <w:gridSpan w:val="2"/>
            <w:vMerge w:val="continue"/>
            <w:shd w:val="clear" w:color="auto" w:fill="CAEEFB"/>
          </w:tcPr>
          <w:p>
            <w:pPr>
              <w:spacing w:after="0"/>
              <w:rPr>
                <w:sz w:val="14"/>
                <w:szCs w:val="14"/>
                <w:color w:val="auto"/>
              </w:rPr>
            </w:pPr>
          </w:p>
        </w:tc>
        <w:tc>
          <w:tcPr>
            <w:tcW w:w="90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n/m (18)</w:t>
            </w:r>
          </w:p>
        </w:tc>
        <w:tc>
          <w:tcPr>
            <w:tcW w:w="120" w:type="dxa"/>
            <w:vAlign w:val="bottom"/>
          </w:tcPr>
          <w:p>
            <w:pPr>
              <w:spacing w:after="0"/>
              <w:rPr>
                <w:sz w:val="12"/>
                <w:szCs w:val="12"/>
                <w:color w:val="auto"/>
              </w:rPr>
            </w:pPr>
          </w:p>
        </w:tc>
        <w:tc>
          <w:tcPr>
            <w:tcW w:w="88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10/20/2023</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10/20/2029</w:t>
            </w:r>
          </w:p>
        </w:tc>
        <w:tc>
          <w:tcPr>
            <w:tcW w:w="14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8"/>
        </w:trPr>
        <w:tc>
          <w:tcPr>
            <w:tcW w:w="2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0" w:type="dxa"/>
            <w:vAlign w:val="bottom"/>
            <w:gridSpan w:val="2"/>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+6.00%</w:t>
            </w:r>
          </w:p>
        </w:tc>
        <w:tc>
          <w:tcPr>
            <w:tcW w:w="78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4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17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72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88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40" w:type="dxa"/>
            <w:vAlign w:val="bottom"/>
            <w:shd w:val="clear" w:color="auto" w:fill="CAEEFB"/>
          </w:tcPr>
          <w:p>
            <w:pPr>
              <w:spacing w:after="0"/>
              <w:rPr>
                <w:sz w:val="13"/>
                <w:szCs w:val="13"/>
                <w:color w:val="auto"/>
              </w:rPr>
            </w:pPr>
          </w:p>
        </w:tc>
        <w:tc>
          <w:tcPr>
            <w:tcW w:w="660" w:type="dxa"/>
            <w:vAlign w:val="bottom"/>
            <w:tcBorders>
              <w:top w:val="single" w:sz="8" w:color="auto"/>
            </w:tcBorders>
            <w:shd w:val="clear" w:color="auto" w:fill="CAEEFB"/>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2,557</w:t>
            </w:r>
          </w:p>
        </w:tc>
        <w:tc>
          <w:tcPr>
            <w:tcW w:w="120" w:type="dxa"/>
            <w:vAlign w:val="bottom"/>
            <w:shd w:val="clear" w:color="auto" w:fill="CAEEFB"/>
          </w:tcPr>
          <w:p>
            <w:pPr>
              <w:spacing w:after="0"/>
              <w:rPr>
                <w:sz w:val="13"/>
                <w:szCs w:val="13"/>
                <w:color w:val="auto"/>
              </w:rPr>
            </w:pPr>
          </w:p>
        </w:tc>
        <w:tc>
          <w:tcPr>
            <w:tcW w:w="780" w:type="dxa"/>
            <w:vAlign w:val="bottom"/>
            <w:tcBorders>
              <w:top w:val="single" w:sz="8" w:color="auto"/>
            </w:tcBorders>
            <w:shd w:val="clear" w:color="auto" w:fill="CAEEFB"/>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2,514</w:t>
            </w:r>
          </w:p>
        </w:tc>
        <w:tc>
          <w:tcPr>
            <w:tcW w:w="100" w:type="dxa"/>
            <w:vAlign w:val="bottom"/>
            <w:shd w:val="clear" w:color="auto" w:fill="CAEEFB"/>
          </w:tcPr>
          <w:p>
            <w:pPr>
              <w:spacing w:after="0"/>
              <w:rPr>
                <w:sz w:val="13"/>
                <w:szCs w:val="13"/>
                <w:color w:val="auto"/>
              </w:rPr>
            </w:pPr>
          </w:p>
        </w:tc>
        <w:tc>
          <w:tcPr>
            <w:tcW w:w="800" w:type="dxa"/>
            <w:vAlign w:val="bottom"/>
            <w:tcBorders>
              <w:top w:val="single" w:sz="8" w:color="auto"/>
            </w:tcBorders>
            <w:shd w:val="clear" w:color="auto" w:fill="CAEEFB"/>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2,557</w:t>
            </w:r>
          </w:p>
        </w:tc>
        <w:tc>
          <w:tcPr>
            <w:tcW w:w="100" w:type="dxa"/>
            <w:vAlign w:val="bottom"/>
            <w:shd w:val="clear" w:color="auto" w:fill="CAEEFB"/>
          </w:tcPr>
          <w:p>
            <w:pPr>
              <w:spacing w:after="0"/>
              <w:rPr>
                <w:sz w:val="13"/>
                <w:szCs w:val="13"/>
                <w:color w:val="auto"/>
              </w:rPr>
            </w:pPr>
          </w:p>
        </w:tc>
        <w:tc>
          <w:tcPr>
            <w:tcW w:w="760" w:type="dxa"/>
            <w:vAlign w:val="bottom"/>
            <w:tcBorders>
              <w:top w:val="single" w:sz="8" w:color="auto"/>
            </w:tcBorders>
            <w:shd w:val="clear" w:color="auto" w:fill="CAEEFB"/>
          </w:tcPr>
          <w:p>
            <w:pPr>
              <w:jc w:val="right"/>
              <w:spacing w:after="0" w:line="155" w:lineRule="exact"/>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5464810</wp:posOffset>
            </wp:positionH>
            <wp:positionV relativeFrom="paragraph">
              <wp:posOffset>-5640070</wp:posOffset>
            </wp:positionV>
            <wp:extent cx="68580" cy="1117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-5640070</wp:posOffset>
            </wp:positionV>
            <wp:extent cx="68580" cy="1117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-5640070</wp:posOffset>
            </wp:positionV>
            <wp:extent cx="68580" cy="1117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5464810</wp:posOffset>
            </wp:positionH>
            <wp:positionV relativeFrom="paragraph">
              <wp:posOffset>-3368040</wp:posOffset>
            </wp:positionV>
            <wp:extent cx="68580" cy="1117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-3368040</wp:posOffset>
            </wp:positionV>
            <wp:extent cx="68580" cy="1117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-3368040</wp:posOffset>
            </wp:positionV>
            <wp:extent cx="68580" cy="1117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1176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321945</wp:posOffset>
            </wp:positionV>
            <wp:extent cx="71831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504" w:right="318"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Principa</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Spread Above</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w:t>
            </w:r>
          </w:p>
        </w:tc>
        <w:tc>
          <w:tcPr>
            <w:tcW w:w="12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2"/>
                <w:szCs w:val="12"/>
                <w:color w:val="auto"/>
              </w:rPr>
            </w:pPr>
          </w:p>
        </w:tc>
        <w:tc>
          <w:tcPr>
            <w:tcW w:w="6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 Net</w:t>
            </w:r>
          </w:p>
        </w:tc>
        <w:tc>
          <w:tcPr>
            <w:tcW w:w="0" w:type="dxa"/>
            <w:vAlign w:val="bottom"/>
          </w:tcPr>
          <w:p>
            <w:pPr>
              <w:spacing w:after="0"/>
              <w:rPr>
                <w:sz w:val="1"/>
                <w:szCs w:val="1"/>
                <w:color w:val="auto"/>
              </w:rPr>
            </w:pPr>
          </w:p>
        </w:tc>
      </w:tr>
      <w:tr>
        <w:trPr>
          <w:trHeight w:val="173"/>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00" w:type="dxa"/>
            <w:vAlign w:val="bottom"/>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Index (2)</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Value (3)</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33"/>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Metasource, LLC (15)</w:t>
            </w:r>
          </w:p>
        </w:tc>
        <w:tc>
          <w:tcPr>
            <w:tcW w:w="100" w:type="dxa"/>
            <w:vAlign w:val="bottom"/>
          </w:tcPr>
          <w:p>
            <w:pPr>
              <w:spacing w:after="0"/>
              <w:rPr>
                <w:sz w:val="11"/>
                <w:szCs w:val="11"/>
                <w:color w:val="auto"/>
              </w:rPr>
            </w:pPr>
          </w:p>
        </w:tc>
        <w:tc>
          <w:tcPr>
            <w:tcW w:w="176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All Other Business Support</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Services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shd w:val="clear" w:color="auto" w:fill="CAEEFB"/>
          </w:tcPr>
          <w:p>
            <w:pPr>
              <w:jc w:val="center"/>
              <w:ind w:left="28"/>
              <w:spacing w:after="0" w:line="139" w:lineRule="exact"/>
              <w:rPr>
                <w:sz w:val="20"/>
                <w:szCs w:val="20"/>
                <w:color w:val="auto"/>
              </w:rPr>
            </w:pPr>
            <w:r>
              <w:rPr>
                <w:rFonts w:ascii="Times New Roman" w:cs="Times New Roman" w:eastAsia="Times New Roman" w:hAnsi="Times New Roman"/>
                <w:sz w:val="14"/>
                <w:szCs w:val="14"/>
                <w:color w:val="auto"/>
              </w:rPr>
              <w:t>10.18%</w:t>
            </w:r>
          </w:p>
        </w:tc>
        <w:tc>
          <w:tcPr>
            <w:tcW w:w="120" w:type="dxa"/>
            <w:vAlign w:val="bottom"/>
            <w:shd w:val="clear" w:color="auto" w:fill="CAEEFB"/>
          </w:tcPr>
          <w:p>
            <w:pPr>
              <w:spacing w:after="0"/>
              <w:rPr>
                <w:sz w:val="12"/>
                <w:szCs w:val="12"/>
                <w:color w:val="auto"/>
              </w:rPr>
            </w:pPr>
          </w:p>
        </w:tc>
        <w:tc>
          <w:tcPr>
            <w:tcW w:w="880" w:type="dxa"/>
            <w:vAlign w:val="bottom"/>
            <w:vMerge w:val="restart"/>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SOFR</w:t>
            </w: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8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jc w:val="center"/>
              <w:spacing w:after="0" w:line="149" w:lineRule="exact"/>
              <w:rPr>
                <w:sz w:val="20"/>
                <w:szCs w:val="20"/>
                <w:color w:val="auto"/>
              </w:rPr>
            </w:pPr>
            <w:r>
              <w:rPr>
                <w:rFonts w:ascii="Times New Roman" w:cs="Times New Roman" w:eastAsia="Times New Roman" w:hAnsi="Times New Roman"/>
                <w:sz w:val="14"/>
                <w:szCs w:val="14"/>
                <w:color w:val="auto"/>
              </w:rPr>
              <w:t>cash /</w:t>
            </w:r>
          </w:p>
        </w:tc>
        <w:tc>
          <w:tcPr>
            <w:tcW w:w="120" w:type="dxa"/>
            <w:vAlign w:val="bottom"/>
            <w:shd w:val="clear" w:color="auto" w:fill="CAEEFB"/>
          </w:tcPr>
          <w:p>
            <w:pPr>
              <w:spacing w:after="0"/>
              <w:rPr>
                <w:sz w:val="12"/>
                <w:szCs w:val="12"/>
                <w:color w:val="auto"/>
              </w:rPr>
            </w:pPr>
          </w:p>
        </w:tc>
        <w:tc>
          <w:tcPr>
            <w:tcW w:w="880" w:type="dxa"/>
            <w:vAlign w:val="bottom"/>
            <w:vMerge w:val="continue"/>
            <w:shd w:val="clear" w:color="auto" w:fill="CAEEFB"/>
          </w:tcPr>
          <w:p>
            <w:pPr>
              <w:spacing w:after="0"/>
              <w:rPr>
                <w:sz w:val="12"/>
                <w:szCs w:val="12"/>
                <w:color w:val="auto"/>
              </w:rPr>
            </w:pP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5/17/2022</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5/17/2027</w:t>
            </w:r>
          </w:p>
        </w:tc>
        <w:tc>
          <w:tcPr>
            <w:tcW w:w="8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2,727</w:t>
            </w:r>
          </w:p>
        </w:tc>
        <w:tc>
          <w:tcPr>
            <w:tcW w:w="9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2,708</w:t>
            </w:r>
          </w:p>
        </w:tc>
        <w:tc>
          <w:tcPr>
            <w:tcW w:w="9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2,645</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jc w:val="center"/>
              <w:spacing w:after="0"/>
              <w:rPr>
                <w:sz w:val="20"/>
                <w:szCs w:val="20"/>
                <w:color w:val="auto"/>
              </w:rPr>
            </w:pPr>
            <w:r>
              <w:rPr>
                <w:rFonts w:ascii="Times New Roman" w:cs="Times New Roman" w:eastAsia="Times New Roman" w:hAnsi="Times New Roman"/>
                <w:sz w:val="14"/>
                <w:szCs w:val="14"/>
                <w:color w:val="auto"/>
              </w:rPr>
              <w:t>0.50% PIK</w:t>
            </w: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+6.25%</w:t>
            </w:r>
          </w:p>
        </w:tc>
        <w:tc>
          <w:tcPr>
            <w:tcW w:w="78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800" w:type="dxa"/>
            <w:vAlign w:val="bottom"/>
            <w:gridSpan w:val="2"/>
            <w:vMerge w:val="continue"/>
            <w:shd w:val="clear" w:color="auto" w:fill="CAEEFB"/>
          </w:tcPr>
          <w:p>
            <w:pPr>
              <w:spacing w:after="0"/>
              <w:rPr>
                <w:sz w:val="14"/>
                <w:szCs w:val="14"/>
                <w:color w:val="auto"/>
              </w:rPr>
            </w:pPr>
          </w:p>
        </w:tc>
        <w:tc>
          <w:tcPr>
            <w:tcW w:w="900" w:type="dxa"/>
            <w:vAlign w:val="bottom"/>
            <w:gridSpan w:val="2"/>
            <w:vMerge w:val="continue"/>
            <w:shd w:val="clear" w:color="auto" w:fill="CAEEFB"/>
          </w:tcPr>
          <w:p>
            <w:pPr>
              <w:spacing w:after="0"/>
              <w:rPr>
                <w:sz w:val="14"/>
                <w:szCs w:val="14"/>
                <w:color w:val="auto"/>
              </w:rPr>
            </w:pPr>
          </w:p>
        </w:tc>
        <w:tc>
          <w:tcPr>
            <w:tcW w:w="90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8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One GI LLC</w:t>
            </w:r>
          </w:p>
        </w:tc>
        <w:tc>
          <w:tcPr>
            <w:tcW w:w="100" w:type="dxa"/>
            <w:vAlign w:val="bottom"/>
          </w:tcPr>
          <w:p>
            <w:pPr>
              <w:spacing w:after="0"/>
              <w:rPr>
                <w:sz w:val="12"/>
                <w:szCs w:val="12"/>
                <w:color w:val="auto"/>
              </w:rPr>
            </w:pPr>
          </w:p>
        </w:tc>
        <w:tc>
          <w:tcPr>
            <w:tcW w:w="17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Offices of Other Holding</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Companies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00" w:type="dxa"/>
            <w:vAlign w:val="bottom"/>
            <w:shd w:val="clear" w:color="auto" w:fill="CAEEFB"/>
          </w:tcPr>
          <w:p>
            <w:pPr>
              <w:spacing w:after="0"/>
              <w:rPr>
                <w:sz w:val="10"/>
                <w:szCs w:val="10"/>
                <w:color w:val="auto"/>
              </w:rPr>
            </w:pPr>
          </w:p>
        </w:tc>
        <w:tc>
          <w:tcPr>
            <w:tcW w:w="1760" w:type="dxa"/>
            <w:vAlign w:val="bottom"/>
            <w:shd w:val="clear" w:color="auto" w:fill="CAEEFB"/>
          </w:tcPr>
          <w:p>
            <w:pPr>
              <w:spacing w:after="0"/>
              <w:rPr>
                <w:sz w:val="10"/>
                <w:szCs w:val="10"/>
                <w:color w:val="auto"/>
              </w:rPr>
            </w:pPr>
          </w:p>
        </w:tc>
        <w:tc>
          <w:tcPr>
            <w:tcW w:w="84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10.57%</w:t>
            </w:r>
          </w:p>
        </w:tc>
        <w:tc>
          <w:tcPr>
            <w:tcW w:w="120" w:type="dxa"/>
            <w:vAlign w:val="bottom"/>
            <w:shd w:val="clear" w:color="auto" w:fill="CAEEFB"/>
          </w:tcPr>
          <w:p>
            <w:pPr>
              <w:spacing w:after="0"/>
              <w:rPr>
                <w:sz w:val="10"/>
                <w:szCs w:val="10"/>
                <w:color w:val="auto"/>
              </w:rPr>
            </w:pPr>
          </w:p>
        </w:tc>
        <w:tc>
          <w:tcPr>
            <w:tcW w:w="880" w:type="dxa"/>
            <w:vAlign w:val="bottom"/>
            <w:shd w:val="clear" w:color="auto" w:fill="CAEEFB"/>
          </w:tcPr>
          <w:p>
            <w:pPr>
              <w:jc w:val="right"/>
              <w:ind w:right="38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12/13/2021</w:t>
            </w:r>
          </w:p>
        </w:tc>
        <w:tc>
          <w:tcPr>
            <w:tcW w:w="780" w:type="dxa"/>
            <w:vAlign w:val="bottom"/>
            <w:gridSpan w:val="2"/>
            <w:shd w:val="clear" w:color="auto" w:fill="CAEEFB"/>
          </w:tcPr>
          <w:p>
            <w:pPr>
              <w:jc w:val="center"/>
              <w:ind w:left="48"/>
              <w:spacing w:after="0" w:line="126" w:lineRule="exact"/>
              <w:rPr>
                <w:sz w:val="20"/>
                <w:szCs w:val="20"/>
                <w:color w:val="auto"/>
              </w:rPr>
            </w:pPr>
            <w:r>
              <w:rPr>
                <w:rFonts w:ascii="Times New Roman" w:cs="Times New Roman" w:eastAsia="Times New Roman" w:hAnsi="Times New Roman"/>
                <w:sz w:val="14"/>
                <w:szCs w:val="14"/>
                <w:color w:val="auto"/>
              </w:rPr>
              <w:t>12/22/2025</w:t>
            </w:r>
          </w:p>
        </w:tc>
        <w:tc>
          <w:tcPr>
            <w:tcW w:w="8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7,280</w:t>
            </w:r>
          </w:p>
        </w:tc>
        <w:tc>
          <w:tcPr>
            <w:tcW w:w="9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7,280</w:t>
            </w:r>
          </w:p>
        </w:tc>
        <w:tc>
          <w:tcPr>
            <w:tcW w:w="9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6,618</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84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+6.75%</w:t>
            </w:r>
          </w:p>
        </w:tc>
        <w:tc>
          <w:tcPr>
            <w:tcW w:w="780" w:type="dxa"/>
            <w:vAlign w:val="bottom"/>
            <w:gridSpan w:val="2"/>
            <w:vMerge w:val="continue"/>
            <w:shd w:val="clear" w:color="auto" w:fill="CAEEFB"/>
          </w:tcPr>
          <w:p>
            <w:pPr>
              <w:spacing w:after="0"/>
              <w:rPr>
                <w:sz w:val="14"/>
                <w:szCs w:val="14"/>
                <w:color w:val="auto"/>
              </w:rPr>
            </w:pPr>
          </w:p>
        </w:tc>
        <w:tc>
          <w:tcPr>
            <w:tcW w:w="780" w:type="dxa"/>
            <w:vAlign w:val="bottom"/>
            <w:gridSpan w:val="2"/>
            <w:shd w:val="clear" w:color="auto" w:fill="CAEEFB"/>
          </w:tcPr>
          <w:p>
            <w:pPr>
              <w:jc w:val="center"/>
              <w:ind w:left="108"/>
              <w:spacing w:after="0"/>
              <w:rPr>
                <w:sz w:val="20"/>
                <w:szCs w:val="20"/>
                <w:color w:val="auto"/>
              </w:rPr>
            </w:pPr>
            <w:r>
              <w:rPr>
                <w:rFonts w:ascii="Times New Roman" w:cs="Times New Roman" w:eastAsia="Times New Roman" w:hAnsi="Times New Roman"/>
                <w:sz w:val="14"/>
                <w:szCs w:val="14"/>
                <w:color w:val="auto"/>
              </w:rPr>
              <w:t>(22)</w:t>
            </w:r>
          </w:p>
        </w:tc>
        <w:tc>
          <w:tcPr>
            <w:tcW w:w="800" w:type="dxa"/>
            <w:vAlign w:val="bottom"/>
            <w:gridSpan w:val="2"/>
            <w:vMerge w:val="continue"/>
            <w:shd w:val="clear" w:color="auto" w:fill="CAEEFB"/>
          </w:tcPr>
          <w:p>
            <w:pPr>
              <w:spacing w:after="0"/>
              <w:rPr>
                <w:sz w:val="14"/>
                <w:szCs w:val="14"/>
                <w:color w:val="auto"/>
              </w:rPr>
            </w:pPr>
          </w:p>
        </w:tc>
        <w:tc>
          <w:tcPr>
            <w:tcW w:w="900" w:type="dxa"/>
            <w:vAlign w:val="bottom"/>
            <w:gridSpan w:val="2"/>
            <w:vMerge w:val="continue"/>
            <w:shd w:val="clear" w:color="auto" w:fill="CAEEFB"/>
          </w:tcPr>
          <w:p>
            <w:pPr>
              <w:spacing w:after="0"/>
              <w:rPr>
                <w:sz w:val="14"/>
                <w:szCs w:val="14"/>
                <w:color w:val="auto"/>
              </w:rPr>
            </w:pPr>
          </w:p>
        </w:tc>
        <w:tc>
          <w:tcPr>
            <w:tcW w:w="90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10.57%</w:t>
            </w:r>
          </w:p>
        </w:tc>
        <w:tc>
          <w:tcPr>
            <w:tcW w:w="120" w:type="dxa"/>
            <w:vAlign w:val="bottom"/>
          </w:tcPr>
          <w:p>
            <w:pPr>
              <w:spacing w:after="0"/>
              <w:rPr>
                <w:sz w:val="12"/>
                <w:szCs w:val="12"/>
                <w:color w:val="auto"/>
              </w:rPr>
            </w:pPr>
          </w:p>
        </w:tc>
        <w:tc>
          <w:tcPr>
            <w:tcW w:w="88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12/13/2021</w:t>
            </w:r>
          </w:p>
        </w:tc>
        <w:tc>
          <w:tcPr>
            <w:tcW w:w="78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12/22/2025</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3,837</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3,837</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3,488</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+6.75%</w:t>
            </w:r>
          </w:p>
        </w:tc>
        <w:tc>
          <w:tcPr>
            <w:tcW w:w="780" w:type="dxa"/>
            <w:vAlign w:val="bottom"/>
            <w:gridSpan w:val="2"/>
            <w:vMerge w:val="continue"/>
          </w:tcPr>
          <w:p>
            <w:pPr>
              <w:spacing w:after="0"/>
              <w:rPr>
                <w:sz w:val="14"/>
                <w:szCs w:val="14"/>
                <w:color w:val="auto"/>
              </w:rPr>
            </w:pPr>
          </w:p>
        </w:tc>
        <w:tc>
          <w:tcPr>
            <w:tcW w:w="78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rPr>
              <w:t>(22)</w:t>
            </w: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(Revolver)</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10.57%</w:t>
            </w: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12/13/2021</w:t>
            </w:r>
          </w:p>
        </w:tc>
        <w:tc>
          <w:tcPr>
            <w:tcW w:w="780" w:type="dxa"/>
            <w:vAlign w:val="bottom"/>
            <w:gridSpan w:val="2"/>
            <w:shd w:val="clear" w:color="auto" w:fill="CAEEFB"/>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12/22/2025</w:t>
            </w:r>
          </w:p>
        </w:tc>
        <w:tc>
          <w:tcPr>
            <w:tcW w:w="140" w:type="dxa"/>
            <w:vAlign w:val="bottom"/>
            <w:vMerge w:val="restart"/>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1,444</w:t>
            </w:r>
          </w:p>
        </w:tc>
        <w:tc>
          <w:tcPr>
            <w:tcW w:w="120" w:type="dxa"/>
            <w:vAlign w:val="bottom"/>
            <w:vMerge w:val="restart"/>
            <w:shd w:val="clear" w:color="auto" w:fill="CAEEFB"/>
          </w:tcPr>
          <w:p>
            <w:pPr>
              <w:spacing w:after="0"/>
              <w:rPr>
                <w:sz w:val="12"/>
                <w:szCs w:val="12"/>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1,444</w:t>
            </w:r>
          </w:p>
        </w:tc>
        <w:tc>
          <w:tcPr>
            <w:tcW w:w="100" w:type="dxa"/>
            <w:vAlign w:val="bottom"/>
            <w:vMerge w:val="restart"/>
            <w:shd w:val="clear" w:color="auto" w:fill="CAEEFB"/>
          </w:tcPr>
          <w:p>
            <w:pPr>
              <w:spacing w:after="0"/>
              <w:rPr>
                <w:sz w:val="12"/>
                <w:szCs w:val="12"/>
                <w:color w:val="auto"/>
              </w:rPr>
            </w:pPr>
          </w:p>
        </w:tc>
        <w:tc>
          <w:tcPr>
            <w:tcW w:w="80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1,313</w:t>
            </w:r>
          </w:p>
        </w:tc>
        <w:tc>
          <w:tcPr>
            <w:tcW w:w="100" w:type="dxa"/>
            <w:vAlign w:val="bottom"/>
            <w:vMerge w:val="restart"/>
            <w:shd w:val="clear" w:color="auto" w:fill="CAEEFB"/>
          </w:tcPr>
          <w:p>
            <w:pPr>
              <w:spacing w:after="0"/>
              <w:rPr>
                <w:sz w:val="12"/>
                <w:szCs w:val="12"/>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58"/>
        </w:trPr>
        <w:tc>
          <w:tcPr>
            <w:tcW w:w="2540" w:type="dxa"/>
            <w:vAlign w:val="bottom"/>
            <w:tcBorders>
              <w:bottom w:val="single" w:sz="8" w:color="CAEEFB"/>
            </w:tcBorders>
            <w:vMerge w:val="continue"/>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1760" w:type="dxa"/>
            <w:vAlign w:val="bottom"/>
            <w:tcBorders>
              <w:bottom w:val="single" w:sz="8" w:color="CAEEFB"/>
            </w:tcBorders>
            <w:shd w:val="clear" w:color="auto" w:fill="CAEEFB"/>
          </w:tcPr>
          <w:p>
            <w:pPr>
              <w:spacing w:after="0"/>
              <w:rPr>
                <w:sz w:val="13"/>
                <w:szCs w:val="13"/>
                <w:color w:val="auto"/>
              </w:rPr>
            </w:pPr>
          </w:p>
        </w:tc>
        <w:tc>
          <w:tcPr>
            <w:tcW w:w="840" w:type="dxa"/>
            <w:vAlign w:val="bottom"/>
            <w:tcBorders>
              <w:bottom w:val="single" w:sz="8" w:color="CAEEFB"/>
            </w:tcBorders>
            <w:gridSpan w:val="2"/>
            <w:vMerge w:val="continue"/>
            <w:shd w:val="clear" w:color="auto" w:fill="CAEEFB"/>
          </w:tcPr>
          <w:p>
            <w:pPr>
              <w:spacing w:after="0"/>
              <w:rPr>
                <w:sz w:val="13"/>
                <w:szCs w:val="13"/>
                <w:color w:val="auto"/>
              </w:rPr>
            </w:pPr>
          </w:p>
        </w:tc>
        <w:tc>
          <w:tcPr>
            <w:tcW w:w="1000" w:type="dxa"/>
            <w:vAlign w:val="bottom"/>
            <w:tcBorders>
              <w:bottom w:val="single" w:sz="8" w:color="CAEEFB"/>
            </w:tcBorders>
            <w:gridSpan w:val="2"/>
            <w:shd w:val="clear" w:color="auto" w:fill="CAEEFB"/>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+6.75%</w:t>
            </w:r>
          </w:p>
        </w:tc>
        <w:tc>
          <w:tcPr>
            <w:tcW w:w="780" w:type="dxa"/>
            <w:vAlign w:val="bottom"/>
            <w:tcBorders>
              <w:bottom w:val="single" w:sz="8" w:color="CAEEFB"/>
            </w:tcBorders>
            <w:gridSpan w:val="2"/>
            <w:vMerge w:val="continue"/>
            <w:shd w:val="clear" w:color="auto" w:fill="CAEEFB"/>
          </w:tcPr>
          <w:p>
            <w:pPr>
              <w:spacing w:after="0"/>
              <w:rPr>
                <w:sz w:val="13"/>
                <w:szCs w:val="13"/>
                <w:color w:val="auto"/>
              </w:rPr>
            </w:pPr>
          </w:p>
        </w:tc>
        <w:tc>
          <w:tcPr>
            <w:tcW w:w="780" w:type="dxa"/>
            <w:vAlign w:val="bottom"/>
            <w:tcBorders>
              <w:bottom w:val="single" w:sz="8" w:color="CAEEFB"/>
            </w:tcBorders>
            <w:gridSpan w:val="2"/>
            <w:shd w:val="clear" w:color="auto" w:fill="CAEEFB"/>
          </w:tcPr>
          <w:p>
            <w:pPr>
              <w:jc w:val="center"/>
              <w:ind w:left="108"/>
              <w:spacing w:after="0" w:line="158" w:lineRule="exact"/>
              <w:rPr>
                <w:sz w:val="20"/>
                <w:szCs w:val="20"/>
                <w:color w:val="auto"/>
              </w:rPr>
            </w:pPr>
            <w:r>
              <w:rPr>
                <w:rFonts w:ascii="Times New Roman" w:cs="Times New Roman" w:eastAsia="Times New Roman" w:hAnsi="Times New Roman"/>
                <w:sz w:val="14"/>
                <w:szCs w:val="14"/>
                <w:color w:val="auto"/>
              </w:rPr>
              <w:t>(22)</w:t>
            </w:r>
          </w:p>
        </w:tc>
        <w:tc>
          <w:tcPr>
            <w:tcW w:w="140" w:type="dxa"/>
            <w:vAlign w:val="bottom"/>
            <w:tcBorders>
              <w:bottom w:val="single" w:sz="8" w:color="CAEEFB"/>
            </w:tcBorders>
            <w:vMerge w:val="continue"/>
            <w:shd w:val="clear" w:color="auto" w:fill="CAEEFB"/>
          </w:tcPr>
          <w:p>
            <w:pPr>
              <w:spacing w:after="0"/>
              <w:rPr>
                <w:sz w:val="13"/>
                <w:szCs w:val="13"/>
                <w:color w:val="auto"/>
              </w:rPr>
            </w:pPr>
          </w:p>
        </w:tc>
        <w:tc>
          <w:tcPr>
            <w:tcW w:w="660" w:type="dxa"/>
            <w:vAlign w:val="bottom"/>
            <w:tcBorders>
              <w:bottom w:val="single" w:sz="8" w:color="auto"/>
            </w:tcBorders>
            <w:vMerge w:val="continue"/>
            <w:shd w:val="clear" w:color="auto" w:fill="CAEEFB"/>
          </w:tcPr>
          <w:p>
            <w:pPr>
              <w:spacing w:after="0"/>
              <w:rPr>
                <w:sz w:val="13"/>
                <w:szCs w:val="13"/>
                <w:color w:val="auto"/>
              </w:rPr>
            </w:pPr>
          </w:p>
        </w:tc>
        <w:tc>
          <w:tcPr>
            <w:tcW w:w="12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80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60" w:type="dxa"/>
            <w:vAlign w:val="bottom"/>
            <w:tcBorders>
              <w:bottom w:val="single" w:sz="8" w:color="auto"/>
            </w:tcBorders>
            <w:vMerge w:val="continue"/>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12,561</w:t>
            </w:r>
          </w:p>
        </w:tc>
        <w:tc>
          <w:tcPr>
            <w:tcW w:w="9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12,561</w:t>
            </w:r>
          </w:p>
        </w:tc>
        <w:tc>
          <w:tcPr>
            <w:tcW w:w="9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11,419</w:t>
            </w:r>
          </w:p>
        </w:tc>
        <w:tc>
          <w:tcPr>
            <w:tcW w:w="8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9.3 %</w:t>
            </w:r>
          </w:p>
        </w:tc>
        <w:tc>
          <w:tcPr>
            <w:tcW w:w="0" w:type="dxa"/>
            <w:vAlign w:val="bottom"/>
          </w:tcPr>
          <w:p>
            <w:pPr>
              <w:spacing w:after="0"/>
              <w:rPr>
                <w:sz w:val="1"/>
                <w:szCs w:val="1"/>
                <w:color w:val="auto"/>
              </w:rPr>
            </w:pPr>
          </w:p>
        </w:tc>
      </w:tr>
      <w:tr>
        <w:trPr>
          <w:trHeight w:val="137"/>
        </w:trPr>
        <w:tc>
          <w:tcPr>
            <w:tcW w:w="2540" w:type="dxa"/>
            <w:vAlign w:val="bottom"/>
            <w:shd w:val="clear" w:color="auto" w:fill="CAEEFB"/>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Planet Bingo, LLC (F/K/A 3rd Rock</w:t>
            </w:r>
          </w:p>
        </w:tc>
        <w:tc>
          <w:tcPr>
            <w:tcW w:w="100" w:type="dxa"/>
            <w:vAlign w:val="bottom"/>
            <w:shd w:val="clear" w:color="auto" w:fill="CAEEFB"/>
          </w:tcPr>
          <w:p>
            <w:pPr>
              <w:spacing w:after="0"/>
              <w:rPr>
                <w:sz w:val="11"/>
                <w:szCs w:val="11"/>
                <w:color w:val="auto"/>
              </w:rPr>
            </w:pPr>
          </w:p>
        </w:tc>
        <w:tc>
          <w:tcPr>
            <w:tcW w:w="1760" w:type="dxa"/>
            <w:vAlign w:val="bottom"/>
            <w:shd w:val="clear" w:color="auto" w:fill="CAEEFB"/>
          </w:tcPr>
          <w:p>
            <w:pPr>
              <w:spacing w:after="0"/>
              <w:rPr>
                <w:sz w:val="11"/>
                <w:szCs w:val="11"/>
                <w:color w:val="auto"/>
              </w:rPr>
            </w:pPr>
          </w:p>
        </w:tc>
        <w:tc>
          <w:tcPr>
            <w:tcW w:w="120" w:type="dxa"/>
            <w:vAlign w:val="bottom"/>
            <w:shd w:val="clear" w:color="auto" w:fill="CAEEFB"/>
          </w:tcPr>
          <w:p>
            <w:pPr>
              <w:spacing w:after="0"/>
              <w:rPr>
                <w:sz w:val="11"/>
                <w:szCs w:val="11"/>
                <w:color w:val="auto"/>
              </w:rPr>
            </w:pPr>
          </w:p>
        </w:tc>
        <w:tc>
          <w:tcPr>
            <w:tcW w:w="720" w:type="dxa"/>
            <w:vAlign w:val="bottom"/>
            <w:shd w:val="clear" w:color="auto" w:fill="CAEEFB"/>
          </w:tcPr>
          <w:p>
            <w:pPr>
              <w:spacing w:after="0"/>
              <w:rPr>
                <w:sz w:val="11"/>
                <w:szCs w:val="11"/>
                <w:color w:val="auto"/>
              </w:rPr>
            </w:pPr>
          </w:p>
        </w:tc>
        <w:tc>
          <w:tcPr>
            <w:tcW w:w="120" w:type="dxa"/>
            <w:vAlign w:val="bottom"/>
            <w:shd w:val="clear" w:color="auto" w:fill="CAEEFB"/>
          </w:tcPr>
          <w:p>
            <w:pPr>
              <w:spacing w:after="0"/>
              <w:rPr>
                <w:sz w:val="11"/>
                <w:szCs w:val="11"/>
                <w:color w:val="auto"/>
              </w:rPr>
            </w:pPr>
          </w:p>
        </w:tc>
        <w:tc>
          <w:tcPr>
            <w:tcW w:w="880" w:type="dxa"/>
            <w:vAlign w:val="bottom"/>
            <w:shd w:val="clear" w:color="auto" w:fill="CAEEFB"/>
          </w:tcPr>
          <w:p>
            <w:pPr>
              <w:spacing w:after="0"/>
              <w:rPr>
                <w:sz w:val="11"/>
                <w:szCs w:val="11"/>
                <w:color w:val="auto"/>
              </w:rPr>
            </w:pPr>
          </w:p>
        </w:tc>
        <w:tc>
          <w:tcPr>
            <w:tcW w:w="120" w:type="dxa"/>
            <w:vAlign w:val="bottom"/>
            <w:shd w:val="clear" w:color="auto" w:fill="CAEEFB"/>
          </w:tcPr>
          <w:p>
            <w:pPr>
              <w:spacing w:after="0"/>
              <w:rPr>
                <w:sz w:val="11"/>
                <w:szCs w:val="11"/>
                <w:color w:val="auto"/>
              </w:rPr>
            </w:pPr>
          </w:p>
        </w:tc>
        <w:tc>
          <w:tcPr>
            <w:tcW w:w="660" w:type="dxa"/>
            <w:vAlign w:val="bottom"/>
            <w:shd w:val="clear" w:color="auto" w:fill="CAEEFB"/>
          </w:tcPr>
          <w:p>
            <w:pPr>
              <w:spacing w:after="0"/>
              <w:rPr>
                <w:sz w:val="11"/>
                <w:szCs w:val="11"/>
                <w:color w:val="auto"/>
              </w:rPr>
            </w:pPr>
          </w:p>
        </w:tc>
        <w:tc>
          <w:tcPr>
            <w:tcW w:w="120" w:type="dxa"/>
            <w:vAlign w:val="bottom"/>
            <w:shd w:val="clear" w:color="auto" w:fill="CAEEFB"/>
          </w:tcPr>
          <w:p>
            <w:pPr>
              <w:spacing w:after="0"/>
              <w:rPr>
                <w:sz w:val="11"/>
                <w:szCs w:val="11"/>
                <w:color w:val="auto"/>
              </w:rPr>
            </w:pPr>
          </w:p>
        </w:tc>
        <w:tc>
          <w:tcPr>
            <w:tcW w:w="660" w:type="dxa"/>
            <w:vAlign w:val="bottom"/>
            <w:shd w:val="clear" w:color="auto" w:fill="CAEEFB"/>
          </w:tcPr>
          <w:p>
            <w:pPr>
              <w:spacing w:after="0"/>
              <w:rPr>
                <w:sz w:val="11"/>
                <w:szCs w:val="11"/>
                <w:color w:val="auto"/>
              </w:rPr>
            </w:pPr>
          </w:p>
        </w:tc>
        <w:tc>
          <w:tcPr>
            <w:tcW w:w="140" w:type="dxa"/>
            <w:vAlign w:val="bottom"/>
            <w:shd w:val="clear" w:color="auto" w:fill="CAEEFB"/>
          </w:tcPr>
          <w:p>
            <w:pPr>
              <w:spacing w:after="0"/>
              <w:rPr>
                <w:sz w:val="11"/>
                <w:szCs w:val="11"/>
                <w:color w:val="auto"/>
              </w:rPr>
            </w:pPr>
          </w:p>
        </w:tc>
        <w:tc>
          <w:tcPr>
            <w:tcW w:w="660" w:type="dxa"/>
            <w:vAlign w:val="bottom"/>
            <w:shd w:val="clear" w:color="auto" w:fill="CAEEFB"/>
          </w:tcPr>
          <w:p>
            <w:pPr>
              <w:spacing w:after="0"/>
              <w:rPr>
                <w:sz w:val="11"/>
                <w:szCs w:val="11"/>
                <w:color w:val="auto"/>
              </w:rPr>
            </w:pPr>
          </w:p>
        </w:tc>
        <w:tc>
          <w:tcPr>
            <w:tcW w:w="120" w:type="dxa"/>
            <w:vAlign w:val="bottom"/>
            <w:shd w:val="clear" w:color="auto" w:fill="CAEEFB"/>
          </w:tcPr>
          <w:p>
            <w:pPr>
              <w:spacing w:after="0"/>
              <w:rPr>
                <w:sz w:val="11"/>
                <w:szCs w:val="11"/>
                <w:color w:val="auto"/>
              </w:rPr>
            </w:pPr>
          </w:p>
        </w:tc>
        <w:tc>
          <w:tcPr>
            <w:tcW w:w="780" w:type="dxa"/>
            <w:vAlign w:val="bottom"/>
            <w:shd w:val="clear" w:color="auto" w:fill="CAEEFB"/>
          </w:tcPr>
          <w:p>
            <w:pPr>
              <w:spacing w:after="0"/>
              <w:rPr>
                <w:sz w:val="11"/>
                <w:szCs w:val="11"/>
                <w:color w:val="auto"/>
              </w:rPr>
            </w:pPr>
          </w:p>
        </w:tc>
        <w:tc>
          <w:tcPr>
            <w:tcW w:w="100" w:type="dxa"/>
            <w:vAlign w:val="bottom"/>
            <w:shd w:val="clear" w:color="auto" w:fill="CAEEFB"/>
          </w:tcPr>
          <w:p>
            <w:pPr>
              <w:spacing w:after="0"/>
              <w:rPr>
                <w:sz w:val="11"/>
                <w:szCs w:val="11"/>
                <w:color w:val="auto"/>
              </w:rPr>
            </w:pPr>
          </w:p>
        </w:tc>
        <w:tc>
          <w:tcPr>
            <w:tcW w:w="800" w:type="dxa"/>
            <w:vAlign w:val="bottom"/>
            <w:shd w:val="clear" w:color="auto" w:fill="CAEEFB"/>
          </w:tcPr>
          <w:p>
            <w:pPr>
              <w:spacing w:after="0"/>
              <w:rPr>
                <w:sz w:val="11"/>
                <w:szCs w:val="11"/>
                <w:color w:val="auto"/>
              </w:rPr>
            </w:pPr>
          </w:p>
        </w:tc>
        <w:tc>
          <w:tcPr>
            <w:tcW w:w="100" w:type="dxa"/>
            <w:vAlign w:val="bottom"/>
            <w:shd w:val="clear" w:color="auto" w:fill="CAEEFB"/>
          </w:tcPr>
          <w:p>
            <w:pPr>
              <w:spacing w:after="0"/>
              <w:rPr>
                <w:sz w:val="11"/>
                <w:szCs w:val="11"/>
                <w:color w:val="auto"/>
              </w:rPr>
            </w:pPr>
          </w:p>
        </w:tc>
        <w:tc>
          <w:tcPr>
            <w:tcW w:w="760" w:type="dxa"/>
            <w:vAlign w:val="bottom"/>
            <w:shd w:val="clear" w:color="auto" w:fill="CAEEFB"/>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Gaming</w:t>
            </w:r>
          </w:p>
        </w:tc>
        <w:tc>
          <w:tcPr>
            <w:tcW w:w="100" w:type="dxa"/>
            <w:vAlign w:val="bottom"/>
            <w:shd w:val="clear" w:color="auto" w:fill="CAEEFB"/>
          </w:tcPr>
          <w:p>
            <w:pPr>
              <w:spacing w:after="0"/>
              <w:rPr>
                <w:sz w:val="12"/>
                <w:szCs w:val="12"/>
                <w:color w:val="auto"/>
              </w:rPr>
            </w:pPr>
          </w:p>
        </w:tc>
        <w:tc>
          <w:tcPr>
            <w:tcW w:w="17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Software Publishers</w:t>
            </w: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8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Holdings, LLC) (6)</w:t>
            </w:r>
          </w:p>
        </w:tc>
        <w:tc>
          <w:tcPr>
            <w:tcW w:w="100" w:type="dxa"/>
            <w:vAlign w:val="bottom"/>
            <w:shd w:val="clear" w:color="auto" w:fill="CAEEFB"/>
          </w:tcPr>
          <w:p>
            <w:pPr>
              <w:spacing w:after="0"/>
              <w:rPr>
                <w:sz w:val="15"/>
                <w:szCs w:val="15"/>
                <w:color w:val="auto"/>
              </w:rPr>
            </w:pPr>
          </w:p>
        </w:tc>
        <w:tc>
          <w:tcPr>
            <w:tcW w:w="1760" w:type="dxa"/>
            <w:vAlign w:val="bottom"/>
            <w:vMerge w:val="continue"/>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72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88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66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660" w:type="dxa"/>
            <w:vAlign w:val="bottom"/>
            <w:shd w:val="clear" w:color="auto" w:fill="CAEEFB"/>
          </w:tcPr>
          <w:p>
            <w:pPr>
              <w:spacing w:after="0"/>
              <w:rPr>
                <w:sz w:val="15"/>
                <w:szCs w:val="15"/>
                <w:color w:val="auto"/>
              </w:rPr>
            </w:pPr>
          </w:p>
        </w:tc>
        <w:tc>
          <w:tcPr>
            <w:tcW w:w="140" w:type="dxa"/>
            <w:vAlign w:val="bottom"/>
            <w:shd w:val="clear" w:color="auto" w:fill="CAEEFB"/>
          </w:tcPr>
          <w:p>
            <w:pPr>
              <w:spacing w:after="0"/>
              <w:rPr>
                <w:sz w:val="15"/>
                <w:szCs w:val="15"/>
                <w:color w:val="auto"/>
              </w:rPr>
            </w:pPr>
          </w:p>
        </w:tc>
        <w:tc>
          <w:tcPr>
            <w:tcW w:w="66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78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80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760" w:type="dxa"/>
            <w:vAlign w:val="bottom"/>
            <w:shd w:val="clear" w:color="auto" w:fill="CAEEF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6.50%</w:t>
            </w:r>
          </w:p>
        </w:tc>
        <w:tc>
          <w:tcPr>
            <w:tcW w:w="120" w:type="dxa"/>
            <w:vAlign w:val="bottom"/>
          </w:tcPr>
          <w:p>
            <w:pPr>
              <w:spacing w:after="0"/>
              <w:rPr>
                <w:sz w:val="14"/>
                <w:szCs w:val="14"/>
                <w:color w:val="auto"/>
              </w:rPr>
            </w:pPr>
          </w:p>
        </w:tc>
        <w:tc>
          <w:tcPr>
            <w:tcW w:w="8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3/13/2018</w:t>
            </w:r>
          </w:p>
        </w:tc>
        <w:tc>
          <w:tcPr>
            <w:tcW w:w="7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12/31/2027</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16,648</w:t>
            </w: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14,113</w:t>
            </w: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7,242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8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All Other General</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PM Acquisition LLC</w:t>
            </w:r>
          </w:p>
        </w:tc>
        <w:tc>
          <w:tcPr>
            <w:tcW w:w="100" w:type="dxa"/>
            <w:vAlign w:val="bottom"/>
          </w:tcPr>
          <w:p>
            <w:pPr>
              <w:spacing w:after="0"/>
              <w:rPr>
                <w:sz w:val="12"/>
                <w:szCs w:val="12"/>
                <w:color w:val="auto"/>
              </w:rPr>
            </w:pPr>
          </w:p>
        </w:tc>
        <w:tc>
          <w:tcPr>
            <w:tcW w:w="1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Merchandise</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Stores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Common Equity (499 units)</w:t>
            </w: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780" w:type="dxa"/>
            <w:vAlign w:val="bottom"/>
            <w:gridSpan w:val="2"/>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9/30/2017</w:t>
            </w: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900" w:type="dxa"/>
            <w:vAlign w:val="bottom"/>
            <w:gridSpan w:val="2"/>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231</w:t>
            </w:r>
          </w:p>
        </w:tc>
        <w:tc>
          <w:tcPr>
            <w:tcW w:w="900" w:type="dxa"/>
            <w:vAlign w:val="bottom"/>
            <w:gridSpan w:val="2"/>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1,181</w:t>
            </w:r>
          </w:p>
        </w:tc>
        <w:tc>
          <w:tcPr>
            <w:tcW w:w="86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line="139" w:lineRule="exact"/>
              <w:rPr>
                <w:sz w:val="20"/>
                <w:szCs w:val="20"/>
                <w:color w:val="auto"/>
              </w:rPr>
            </w:pPr>
            <w:r>
              <w:rPr>
                <w:rFonts w:ascii="Times New Roman" w:cs="Times New Roman" w:eastAsia="Times New Roman" w:hAnsi="Times New Roman"/>
                <w:sz w:val="14"/>
                <w:szCs w:val="14"/>
                <w:color w:val="auto"/>
              </w:rPr>
              <w:t>Lessors of Nonfinancial</w:t>
            </w: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8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PSB Group, LLC (19)</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(except</w:t>
            </w: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8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Copyrighted Works)</w:t>
            </w: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8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10.47%</w:t>
            </w:r>
          </w:p>
        </w:tc>
        <w:tc>
          <w:tcPr>
            <w:tcW w:w="120" w:type="dxa"/>
            <w:vAlign w:val="bottom"/>
          </w:tcPr>
          <w:p>
            <w:pPr>
              <w:spacing w:after="0"/>
              <w:rPr>
                <w:sz w:val="12"/>
                <w:szCs w:val="12"/>
                <w:color w:val="auto"/>
              </w:rPr>
            </w:pPr>
          </w:p>
        </w:tc>
        <w:tc>
          <w:tcPr>
            <w:tcW w:w="88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4/17/2025</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4/17/2030</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7,882</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7,848</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7,879</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+6.75%</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10.47%</w:t>
            </w: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4/17/2025</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4/17/2030</w:t>
            </w:r>
          </w:p>
        </w:tc>
        <w:tc>
          <w:tcPr>
            <w:tcW w:w="140" w:type="dxa"/>
            <w:vAlign w:val="bottom"/>
            <w:vMerge w:val="restart"/>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406</w:t>
            </w:r>
          </w:p>
        </w:tc>
        <w:tc>
          <w:tcPr>
            <w:tcW w:w="120" w:type="dxa"/>
            <w:vAlign w:val="bottom"/>
            <w:vMerge w:val="restart"/>
            <w:shd w:val="clear" w:color="auto" w:fill="CAEEFB"/>
          </w:tcPr>
          <w:p>
            <w:pPr>
              <w:spacing w:after="0"/>
              <w:rPr>
                <w:sz w:val="12"/>
                <w:szCs w:val="12"/>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vMerge w:val="restart"/>
            <w:shd w:val="clear" w:color="auto" w:fill="CAEEFB"/>
          </w:tcPr>
          <w:p>
            <w:pPr>
              <w:spacing w:after="0"/>
              <w:rPr>
                <w:sz w:val="12"/>
                <w:szCs w:val="12"/>
                <w:color w:val="auto"/>
              </w:rPr>
            </w:pPr>
          </w:p>
        </w:tc>
        <w:tc>
          <w:tcPr>
            <w:tcW w:w="80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vMerge w:val="restart"/>
            <w:shd w:val="clear" w:color="auto" w:fill="CAEEFB"/>
          </w:tcPr>
          <w:p>
            <w:pPr>
              <w:spacing w:after="0"/>
              <w:rPr>
                <w:sz w:val="12"/>
                <w:szCs w:val="12"/>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158"/>
        </w:trPr>
        <w:tc>
          <w:tcPr>
            <w:tcW w:w="2540" w:type="dxa"/>
            <w:vAlign w:val="bottom"/>
            <w:tcBorders>
              <w:bottom w:val="single" w:sz="8" w:color="CAEEFB"/>
            </w:tcBorders>
            <w:vMerge w:val="continue"/>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1760" w:type="dxa"/>
            <w:vAlign w:val="bottom"/>
            <w:tcBorders>
              <w:bottom w:val="single" w:sz="8" w:color="CAEEFB"/>
            </w:tcBorders>
            <w:shd w:val="clear" w:color="auto" w:fill="CAEEFB"/>
          </w:tcPr>
          <w:p>
            <w:pPr>
              <w:spacing w:after="0"/>
              <w:rPr>
                <w:sz w:val="13"/>
                <w:szCs w:val="13"/>
                <w:color w:val="auto"/>
              </w:rPr>
            </w:pPr>
          </w:p>
        </w:tc>
        <w:tc>
          <w:tcPr>
            <w:tcW w:w="840" w:type="dxa"/>
            <w:vAlign w:val="bottom"/>
            <w:tcBorders>
              <w:bottom w:val="single" w:sz="8" w:color="CAEEFB"/>
            </w:tcBorders>
            <w:gridSpan w:val="2"/>
            <w:vMerge w:val="continue"/>
            <w:shd w:val="clear" w:color="auto" w:fill="CAEEFB"/>
          </w:tcPr>
          <w:p>
            <w:pPr>
              <w:spacing w:after="0"/>
              <w:rPr>
                <w:sz w:val="13"/>
                <w:szCs w:val="13"/>
                <w:color w:val="auto"/>
              </w:rPr>
            </w:pPr>
          </w:p>
        </w:tc>
        <w:tc>
          <w:tcPr>
            <w:tcW w:w="1000" w:type="dxa"/>
            <w:vAlign w:val="bottom"/>
            <w:tcBorders>
              <w:bottom w:val="single" w:sz="8" w:color="CAEEFB"/>
            </w:tcBorders>
            <w:gridSpan w:val="2"/>
            <w:shd w:val="clear" w:color="auto" w:fill="CAEEFB"/>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+6.75%</w:t>
            </w:r>
          </w:p>
        </w:tc>
        <w:tc>
          <w:tcPr>
            <w:tcW w:w="780" w:type="dxa"/>
            <w:vAlign w:val="bottom"/>
            <w:tcBorders>
              <w:bottom w:val="single" w:sz="8" w:color="CAEEFB"/>
            </w:tcBorders>
            <w:gridSpan w:val="2"/>
            <w:vMerge w:val="continue"/>
            <w:shd w:val="clear" w:color="auto" w:fill="CAEEFB"/>
          </w:tcPr>
          <w:p>
            <w:pPr>
              <w:spacing w:after="0"/>
              <w:rPr>
                <w:sz w:val="13"/>
                <w:szCs w:val="13"/>
                <w:color w:val="auto"/>
              </w:rPr>
            </w:pPr>
          </w:p>
        </w:tc>
        <w:tc>
          <w:tcPr>
            <w:tcW w:w="780" w:type="dxa"/>
            <w:vAlign w:val="bottom"/>
            <w:tcBorders>
              <w:bottom w:val="single" w:sz="8" w:color="CAEEFB"/>
            </w:tcBorders>
            <w:gridSpan w:val="2"/>
            <w:vMerge w:val="continue"/>
            <w:shd w:val="clear" w:color="auto" w:fill="CAEEFB"/>
          </w:tcPr>
          <w:p>
            <w:pPr>
              <w:spacing w:after="0"/>
              <w:rPr>
                <w:sz w:val="13"/>
                <w:szCs w:val="13"/>
                <w:color w:val="auto"/>
              </w:rPr>
            </w:pPr>
          </w:p>
        </w:tc>
        <w:tc>
          <w:tcPr>
            <w:tcW w:w="140" w:type="dxa"/>
            <w:vAlign w:val="bottom"/>
            <w:tcBorders>
              <w:bottom w:val="single" w:sz="8" w:color="CAEEFB"/>
            </w:tcBorders>
            <w:vMerge w:val="continue"/>
            <w:shd w:val="clear" w:color="auto" w:fill="CAEEFB"/>
          </w:tcPr>
          <w:p>
            <w:pPr>
              <w:spacing w:after="0"/>
              <w:rPr>
                <w:sz w:val="13"/>
                <w:szCs w:val="13"/>
                <w:color w:val="auto"/>
              </w:rPr>
            </w:pPr>
          </w:p>
        </w:tc>
        <w:tc>
          <w:tcPr>
            <w:tcW w:w="660" w:type="dxa"/>
            <w:vAlign w:val="bottom"/>
            <w:tcBorders>
              <w:bottom w:val="single" w:sz="8" w:color="auto"/>
            </w:tcBorders>
            <w:vMerge w:val="continue"/>
            <w:shd w:val="clear" w:color="auto" w:fill="CAEEFB"/>
          </w:tcPr>
          <w:p>
            <w:pPr>
              <w:spacing w:after="0"/>
              <w:rPr>
                <w:sz w:val="13"/>
                <w:szCs w:val="13"/>
                <w:color w:val="auto"/>
              </w:rPr>
            </w:pPr>
          </w:p>
        </w:tc>
        <w:tc>
          <w:tcPr>
            <w:tcW w:w="12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80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60" w:type="dxa"/>
            <w:vAlign w:val="bottom"/>
            <w:tcBorders>
              <w:bottom w:val="single" w:sz="8" w:color="auto"/>
            </w:tcBorders>
            <w:vMerge w:val="continue"/>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8,288</w:t>
            </w:r>
          </w:p>
        </w:tc>
        <w:tc>
          <w:tcPr>
            <w:tcW w:w="9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8,249</w:t>
            </w:r>
          </w:p>
        </w:tc>
        <w:tc>
          <w:tcPr>
            <w:tcW w:w="9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8,284</w:t>
            </w:r>
          </w:p>
        </w:tc>
        <w:tc>
          <w:tcPr>
            <w:tcW w:w="8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6.7 %</w:t>
            </w:r>
          </w:p>
        </w:tc>
        <w:tc>
          <w:tcPr>
            <w:tcW w:w="0" w:type="dxa"/>
            <w:vAlign w:val="bottom"/>
          </w:tcPr>
          <w:p>
            <w:pPr>
              <w:spacing w:after="0"/>
              <w:rPr>
                <w:sz w:val="1"/>
                <w:szCs w:val="1"/>
                <w:color w:val="auto"/>
              </w:rPr>
            </w:pPr>
          </w:p>
        </w:tc>
      </w:tr>
      <w:tr>
        <w:trPr>
          <w:trHeight w:val="139"/>
        </w:trPr>
        <w:tc>
          <w:tcPr>
            <w:tcW w:w="25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line="139" w:lineRule="exact"/>
              <w:rPr>
                <w:sz w:val="20"/>
                <w:szCs w:val="20"/>
                <w:color w:val="auto"/>
              </w:rPr>
            </w:pPr>
            <w:r>
              <w:rPr>
                <w:rFonts w:ascii="Times New Roman" w:cs="Times New Roman" w:eastAsia="Times New Roman" w:hAnsi="Times New Roman"/>
                <w:sz w:val="14"/>
                <w:szCs w:val="14"/>
                <w:color w:val="auto"/>
              </w:rPr>
              <w:t>Computer and Computer</w:t>
            </w: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8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color w:val="auto"/>
              </w:rPr>
              <w:t>Peripheral Equipment and</w:t>
            </w: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8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Redstone Holdco 2 LP (15)</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color w:val="auto"/>
              </w:rPr>
              <w:t>Software Merchant</w:t>
            </w: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8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Wholesalers</w:t>
            </w: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8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8.85%</w:t>
            </w:r>
          </w:p>
        </w:tc>
        <w:tc>
          <w:tcPr>
            <w:tcW w:w="120" w:type="dxa"/>
            <w:vAlign w:val="bottom"/>
          </w:tcPr>
          <w:p>
            <w:pPr>
              <w:spacing w:after="0"/>
              <w:rPr>
                <w:sz w:val="12"/>
                <w:szCs w:val="12"/>
                <w:color w:val="auto"/>
              </w:rPr>
            </w:pPr>
          </w:p>
        </w:tc>
        <w:tc>
          <w:tcPr>
            <w:tcW w:w="88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4/16/2021</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4/27/2028</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1,715</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1,711</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1,289</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+4.75%</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8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540" w:type="dxa"/>
            <w:vAlign w:val="bottom"/>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RideNow Group, Inc. (F/K/A RumbleOn,</w:t>
            </w:r>
          </w:p>
        </w:tc>
        <w:tc>
          <w:tcPr>
            <w:tcW w:w="100" w:type="dxa"/>
            <w:vAlign w:val="bottom"/>
          </w:tcPr>
          <w:p>
            <w:pPr>
              <w:spacing w:after="0"/>
              <w:rPr>
                <w:sz w:val="11"/>
                <w:szCs w:val="11"/>
                <w:color w:val="auto"/>
              </w:rPr>
            </w:pPr>
          </w:p>
        </w:tc>
        <w:tc>
          <w:tcPr>
            <w:tcW w:w="176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Other Industrial Machinery</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Inc.) (8) (15)</w:t>
            </w:r>
          </w:p>
        </w:tc>
        <w:tc>
          <w:tcPr>
            <w:tcW w:w="100" w:type="dxa"/>
            <w:vAlign w:val="bottom"/>
          </w:tcPr>
          <w:p>
            <w:pPr>
              <w:spacing w:after="0"/>
              <w:rPr>
                <w:sz w:val="15"/>
                <w:szCs w:val="15"/>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Manufacturing</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5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shd w:val="clear" w:color="auto" w:fill="CAEEFB"/>
          </w:tcPr>
          <w:p>
            <w:pPr>
              <w:jc w:val="center"/>
              <w:ind w:left="28"/>
              <w:spacing w:after="0" w:line="139" w:lineRule="exact"/>
              <w:rPr>
                <w:sz w:val="20"/>
                <w:szCs w:val="20"/>
                <w:color w:val="auto"/>
              </w:rPr>
            </w:pPr>
            <w:r>
              <w:rPr>
                <w:rFonts w:ascii="Times New Roman" w:cs="Times New Roman" w:eastAsia="Times New Roman" w:hAnsi="Times New Roman"/>
                <w:sz w:val="14"/>
                <w:szCs w:val="14"/>
                <w:color w:val="auto"/>
              </w:rPr>
              <w:t>10.85%</w:t>
            </w:r>
          </w:p>
        </w:tc>
        <w:tc>
          <w:tcPr>
            <w:tcW w:w="120" w:type="dxa"/>
            <w:vAlign w:val="bottom"/>
            <w:shd w:val="clear" w:color="auto" w:fill="CAEEFB"/>
          </w:tcPr>
          <w:p>
            <w:pPr>
              <w:spacing w:after="0"/>
              <w:rPr>
                <w:sz w:val="12"/>
                <w:szCs w:val="12"/>
                <w:color w:val="auto"/>
              </w:rPr>
            </w:pPr>
          </w:p>
        </w:tc>
        <w:tc>
          <w:tcPr>
            <w:tcW w:w="880" w:type="dxa"/>
            <w:vAlign w:val="bottom"/>
            <w:vMerge w:val="restart"/>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SOFR</w:t>
            </w: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8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(11)</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jc w:val="center"/>
              <w:spacing w:after="0" w:line="149" w:lineRule="exact"/>
              <w:rPr>
                <w:sz w:val="20"/>
                <w:szCs w:val="20"/>
                <w:color w:val="auto"/>
              </w:rPr>
            </w:pPr>
            <w:r>
              <w:rPr>
                <w:rFonts w:ascii="Times New Roman" w:cs="Times New Roman" w:eastAsia="Times New Roman" w:hAnsi="Times New Roman"/>
                <w:sz w:val="14"/>
                <w:szCs w:val="14"/>
                <w:color w:val="auto"/>
              </w:rPr>
              <w:t>cash /</w:t>
            </w:r>
          </w:p>
        </w:tc>
        <w:tc>
          <w:tcPr>
            <w:tcW w:w="120" w:type="dxa"/>
            <w:vAlign w:val="bottom"/>
            <w:shd w:val="clear" w:color="auto" w:fill="CAEEFB"/>
          </w:tcPr>
          <w:p>
            <w:pPr>
              <w:spacing w:after="0"/>
              <w:rPr>
                <w:sz w:val="12"/>
                <w:szCs w:val="12"/>
                <w:color w:val="auto"/>
              </w:rPr>
            </w:pPr>
          </w:p>
        </w:tc>
        <w:tc>
          <w:tcPr>
            <w:tcW w:w="880" w:type="dxa"/>
            <w:vAlign w:val="bottom"/>
            <w:vMerge w:val="continue"/>
            <w:shd w:val="clear" w:color="auto" w:fill="CAEEFB"/>
          </w:tcPr>
          <w:p>
            <w:pPr>
              <w:spacing w:after="0"/>
              <w:rPr>
                <w:sz w:val="12"/>
                <w:szCs w:val="12"/>
                <w:color w:val="auto"/>
              </w:rPr>
            </w:pP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8/31/2021</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9/30/2027</w:t>
            </w:r>
          </w:p>
        </w:tc>
        <w:tc>
          <w:tcPr>
            <w:tcW w:w="8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2,384</w:t>
            </w:r>
          </w:p>
        </w:tc>
        <w:tc>
          <w:tcPr>
            <w:tcW w:w="9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2,362</w:t>
            </w:r>
          </w:p>
        </w:tc>
        <w:tc>
          <w:tcPr>
            <w:tcW w:w="90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2,299</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jc w:val="center"/>
              <w:spacing w:after="0"/>
              <w:rPr>
                <w:sz w:val="20"/>
                <w:szCs w:val="20"/>
                <w:color w:val="auto"/>
              </w:rPr>
            </w:pPr>
            <w:r>
              <w:rPr>
                <w:rFonts w:ascii="Times New Roman" w:cs="Times New Roman" w:eastAsia="Times New Roman" w:hAnsi="Times New Roman"/>
                <w:sz w:val="14"/>
                <w:szCs w:val="14"/>
                <w:color w:val="auto"/>
              </w:rPr>
              <w:t>1.00% PIK</w:t>
            </w: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+7.75%</w:t>
            </w:r>
          </w:p>
        </w:tc>
        <w:tc>
          <w:tcPr>
            <w:tcW w:w="78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800" w:type="dxa"/>
            <w:vAlign w:val="bottom"/>
            <w:gridSpan w:val="2"/>
            <w:vMerge w:val="continue"/>
            <w:shd w:val="clear" w:color="auto" w:fill="CAEEFB"/>
          </w:tcPr>
          <w:p>
            <w:pPr>
              <w:spacing w:after="0"/>
              <w:rPr>
                <w:sz w:val="14"/>
                <w:szCs w:val="14"/>
                <w:color w:val="auto"/>
              </w:rPr>
            </w:pPr>
          </w:p>
        </w:tc>
        <w:tc>
          <w:tcPr>
            <w:tcW w:w="900" w:type="dxa"/>
            <w:vAlign w:val="bottom"/>
            <w:gridSpan w:val="2"/>
            <w:vMerge w:val="continue"/>
            <w:shd w:val="clear" w:color="auto" w:fill="CAEEFB"/>
          </w:tcPr>
          <w:p>
            <w:pPr>
              <w:spacing w:after="0"/>
              <w:rPr>
                <w:sz w:val="14"/>
                <w:szCs w:val="14"/>
                <w:color w:val="auto"/>
              </w:rPr>
            </w:pPr>
          </w:p>
        </w:tc>
        <w:tc>
          <w:tcPr>
            <w:tcW w:w="90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tcPr>
          <w:p>
            <w:pPr>
              <w:jc w:val="center"/>
              <w:ind w:left="28"/>
              <w:spacing w:after="0" w:line="139" w:lineRule="exact"/>
              <w:rPr>
                <w:sz w:val="20"/>
                <w:szCs w:val="20"/>
                <w:color w:val="auto"/>
              </w:rPr>
            </w:pPr>
            <w:r>
              <w:rPr>
                <w:rFonts w:ascii="Times New Roman" w:cs="Times New Roman" w:eastAsia="Times New Roman" w:hAnsi="Times New Roman"/>
                <w:sz w:val="14"/>
                <w:szCs w:val="14"/>
                <w:color w:val="auto"/>
              </w:rPr>
              <w:t>10.85%</w:t>
            </w:r>
          </w:p>
        </w:tc>
        <w:tc>
          <w:tcPr>
            <w:tcW w:w="120" w:type="dxa"/>
            <w:vAlign w:val="bottom"/>
          </w:tcPr>
          <w:p>
            <w:pPr>
              <w:spacing w:after="0"/>
              <w:rPr>
                <w:sz w:val="12"/>
                <w:szCs w:val="12"/>
                <w:color w:val="auto"/>
              </w:rPr>
            </w:pPr>
          </w:p>
        </w:tc>
        <w:tc>
          <w:tcPr>
            <w:tcW w:w="88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SOFR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(11)</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cash /</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8/31/2021</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9/30/2027</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720</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714</w:t>
            </w:r>
          </w:p>
        </w:tc>
        <w:tc>
          <w:tcPr>
            <w:tcW w:w="9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694</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 PIK</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+7.75%</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shd w:val="clear" w:color="auto" w:fill="CAEEFB"/>
          </w:tcPr>
          <w:p>
            <w:pPr>
              <w:spacing w:after="0" w:line="139" w:lineRule="exact"/>
              <w:rPr>
                <w:sz w:val="20"/>
                <w:szCs w:val="20"/>
                <w:color w:val="auto"/>
              </w:rPr>
            </w:pPr>
            <w:r>
              <w:rPr>
                <w:rFonts w:ascii="Times New Roman" w:cs="Times New Roman" w:eastAsia="Times New Roman" w:hAnsi="Times New Roman"/>
                <w:sz w:val="14"/>
                <w:szCs w:val="14"/>
                <w:color w:val="auto"/>
              </w:rPr>
              <w:t>Warrants (warrants to purchase up to</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8/31/2021</w:t>
            </w:r>
          </w:p>
        </w:tc>
        <w:tc>
          <w:tcPr>
            <w:tcW w:w="780" w:type="dxa"/>
            <w:vAlign w:val="bottom"/>
            <w:gridSpan w:val="2"/>
            <w:shd w:val="clear" w:color="auto" w:fill="CAEEFB"/>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rPr>
              <w:t>8/10/2030</w:t>
            </w: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vMerge w:val="restart"/>
            <w:shd w:val="clear" w:color="auto" w:fill="CAEEFB"/>
          </w:tcPr>
          <w:p>
            <w:pPr>
              <w:spacing w:after="0"/>
              <w:rPr>
                <w:sz w:val="12"/>
                <w:szCs w:val="12"/>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vMerge w:val="restart"/>
            <w:shd w:val="clear" w:color="auto" w:fill="CAEEFB"/>
          </w:tcPr>
          <w:p>
            <w:pPr>
              <w:spacing w:after="0"/>
              <w:rPr>
                <w:sz w:val="12"/>
                <w:szCs w:val="12"/>
                <w:color w:val="auto"/>
              </w:rPr>
            </w:pPr>
          </w:p>
        </w:tc>
        <w:tc>
          <w:tcPr>
            <w:tcW w:w="80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vMerge w:val="restart"/>
            <w:shd w:val="clear" w:color="auto" w:fill="CAEEFB"/>
          </w:tcPr>
          <w:p>
            <w:pPr>
              <w:spacing w:after="0"/>
              <w:rPr>
                <w:sz w:val="12"/>
                <w:szCs w:val="12"/>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58"/>
        </w:trPr>
        <w:tc>
          <w:tcPr>
            <w:tcW w:w="2540" w:type="dxa"/>
            <w:vAlign w:val="bottom"/>
            <w:tcBorders>
              <w:bottom w:val="single" w:sz="8" w:color="CAEEFB"/>
            </w:tcBorders>
            <w:shd w:val="clear" w:color="auto" w:fill="CAEEFB"/>
          </w:tcPr>
          <w:p>
            <w:pPr>
              <w:spacing w:after="0" w:line="158" w:lineRule="exact"/>
              <w:rPr>
                <w:sz w:val="20"/>
                <w:szCs w:val="20"/>
                <w:color w:val="auto"/>
              </w:rPr>
            </w:pPr>
            <w:r>
              <w:rPr>
                <w:rFonts w:ascii="Times New Roman" w:cs="Times New Roman" w:eastAsia="Times New Roman" w:hAnsi="Times New Roman"/>
                <w:sz w:val="14"/>
                <w:szCs w:val="14"/>
                <w:color w:val="auto"/>
              </w:rPr>
              <w:t>$73,000 in common stock) (10)</w:t>
            </w:r>
          </w:p>
        </w:tc>
        <w:tc>
          <w:tcPr>
            <w:tcW w:w="100" w:type="dxa"/>
            <w:vAlign w:val="bottom"/>
            <w:tcBorders>
              <w:bottom w:val="single" w:sz="8" w:color="CAEEFB"/>
            </w:tcBorders>
            <w:shd w:val="clear" w:color="auto" w:fill="CAEEFB"/>
          </w:tcPr>
          <w:p>
            <w:pPr>
              <w:spacing w:after="0"/>
              <w:rPr>
                <w:sz w:val="13"/>
                <w:szCs w:val="13"/>
                <w:color w:val="auto"/>
              </w:rPr>
            </w:pPr>
          </w:p>
        </w:tc>
        <w:tc>
          <w:tcPr>
            <w:tcW w:w="1760" w:type="dxa"/>
            <w:vAlign w:val="bottom"/>
            <w:tcBorders>
              <w:bottom w:val="single" w:sz="8" w:color="CAEEFB"/>
            </w:tcBorders>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720" w:type="dxa"/>
            <w:vAlign w:val="bottom"/>
            <w:tcBorders>
              <w:bottom w:val="single" w:sz="8" w:color="CAEEFB"/>
            </w:tcBorders>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880" w:type="dxa"/>
            <w:vAlign w:val="bottom"/>
            <w:tcBorders>
              <w:bottom w:val="single" w:sz="8" w:color="CAEEFB"/>
            </w:tcBorders>
            <w:shd w:val="clear" w:color="auto" w:fill="CAEEFB"/>
          </w:tcPr>
          <w:p>
            <w:pPr>
              <w:spacing w:after="0"/>
              <w:rPr>
                <w:sz w:val="13"/>
                <w:szCs w:val="13"/>
                <w:color w:val="auto"/>
              </w:rPr>
            </w:pPr>
          </w:p>
        </w:tc>
        <w:tc>
          <w:tcPr>
            <w:tcW w:w="780" w:type="dxa"/>
            <w:vAlign w:val="bottom"/>
            <w:tcBorders>
              <w:bottom w:val="single" w:sz="8" w:color="CAEEFB"/>
            </w:tcBorders>
            <w:gridSpan w:val="2"/>
            <w:vMerge w:val="continue"/>
            <w:shd w:val="clear" w:color="auto" w:fill="CAEEFB"/>
          </w:tcPr>
          <w:p>
            <w:pPr>
              <w:spacing w:after="0"/>
              <w:rPr>
                <w:sz w:val="13"/>
                <w:szCs w:val="13"/>
                <w:color w:val="auto"/>
              </w:rPr>
            </w:pPr>
          </w:p>
        </w:tc>
        <w:tc>
          <w:tcPr>
            <w:tcW w:w="780" w:type="dxa"/>
            <w:vAlign w:val="bottom"/>
            <w:tcBorders>
              <w:bottom w:val="single" w:sz="8" w:color="CAEEFB"/>
            </w:tcBorders>
            <w:gridSpan w:val="2"/>
            <w:shd w:val="clear" w:color="auto" w:fill="CAEEFB"/>
          </w:tcPr>
          <w:p>
            <w:pPr>
              <w:jc w:val="center"/>
              <w:ind w:left="68"/>
              <w:spacing w:after="0" w:line="158" w:lineRule="exact"/>
              <w:rPr>
                <w:sz w:val="20"/>
                <w:szCs w:val="20"/>
                <w:color w:val="auto"/>
              </w:rPr>
            </w:pPr>
            <w:r>
              <w:rPr>
                <w:rFonts w:ascii="Times New Roman" w:cs="Times New Roman" w:eastAsia="Times New Roman" w:hAnsi="Times New Roman"/>
                <w:sz w:val="14"/>
                <w:szCs w:val="14"/>
                <w:color w:val="auto"/>
              </w:rPr>
              <w:t>(12)</w:t>
            </w:r>
          </w:p>
        </w:tc>
        <w:tc>
          <w:tcPr>
            <w:tcW w:w="140" w:type="dxa"/>
            <w:vAlign w:val="bottom"/>
            <w:tcBorders>
              <w:bottom w:val="single" w:sz="8" w:color="CAEEFB"/>
            </w:tcBorders>
            <w:shd w:val="clear" w:color="auto" w:fill="CAEEFB"/>
          </w:tcPr>
          <w:p>
            <w:pPr>
              <w:spacing w:after="0"/>
              <w:rPr>
                <w:sz w:val="13"/>
                <w:szCs w:val="13"/>
                <w:color w:val="auto"/>
              </w:rPr>
            </w:pPr>
          </w:p>
        </w:tc>
        <w:tc>
          <w:tcPr>
            <w:tcW w:w="660" w:type="dxa"/>
            <w:vAlign w:val="bottom"/>
            <w:tcBorders>
              <w:bottom w:val="single" w:sz="8" w:color="auto"/>
            </w:tcBorders>
            <w:shd w:val="clear" w:color="auto" w:fill="CAEEFB"/>
          </w:tcPr>
          <w:p>
            <w:pPr>
              <w:spacing w:after="0"/>
              <w:rPr>
                <w:sz w:val="13"/>
                <w:szCs w:val="13"/>
                <w:color w:val="auto"/>
              </w:rPr>
            </w:pPr>
          </w:p>
        </w:tc>
        <w:tc>
          <w:tcPr>
            <w:tcW w:w="12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80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60" w:type="dxa"/>
            <w:vAlign w:val="bottom"/>
            <w:tcBorders>
              <w:bottom w:val="single" w:sz="8" w:color="auto"/>
            </w:tcBorders>
            <w:vMerge w:val="continue"/>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3,104</w:t>
            </w:r>
          </w:p>
        </w:tc>
        <w:tc>
          <w:tcPr>
            <w:tcW w:w="90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3,276</w:t>
            </w:r>
          </w:p>
        </w:tc>
        <w:tc>
          <w:tcPr>
            <w:tcW w:w="90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3,061</w:t>
            </w: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2.6 %</w:t>
            </w: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RPLF Holdings, LLC (10) (13)</w:t>
            </w: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Software Publishers</w:t>
            </w: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8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Common Equity (345,339 Class A units)</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1/17/2018</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1,462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8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5464810</wp:posOffset>
            </wp:positionH>
            <wp:positionV relativeFrom="paragraph">
              <wp:posOffset>-3959860</wp:posOffset>
            </wp:positionV>
            <wp:extent cx="68580" cy="1111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-3959860</wp:posOffset>
            </wp:positionV>
            <wp:extent cx="68580" cy="1111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-3959860</wp:posOffset>
            </wp:positionV>
            <wp:extent cx="68580" cy="1111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5464810</wp:posOffset>
            </wp:positionH>
            <wp:positionV relativeFrom="paragraph">
              <wp:posOffset>-2176780</wp:posOffset>
            </wp:positionV>
            <wp:extent cx="68580" cy="1111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-2176780</wp:posOffset>
            </wp:positionV>
            <wp:extent cx="68580" cy="1111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-2176780</wp:posOffset>
            </wp:positionV>
            <wp:extent cx="68580" cy="1111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5464810</wp:posOffset>
            </wp:positionH>
            <wp:positionV relativeFrom="paragraph">
              <wp:posOffset>-410845</wp:posOffset>
            </wp:positionV>
            <wp:extent cx="68580" cy="1028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-410845</wp:posOffset>
            </wp:positionV>
            <wp:extent cx="68580" cy="1028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-410845</wp:posOffset>
            </wp:positionV>
            <wp:extent cx="68580" cy="1028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321945</wp:posOffset>
            </wp:positionV>
            <wp:extent cx="71831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504" w:right="318"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Principa</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Spread Above</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w:t>
            </w:r>
          </w:p>
        </w:tc>
        <w:tc>
          <w:tcPr>
            <w:tcW w:w="1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 Net</w:t>
            </w:r>
          </w:p>
        </w:tc>
        <w:tc>
          <w:tcPr>
            <w:tcW w:w="0" w:type="dxa"/>
            <w:vAlign w:val="bottom"/>
          </w:tcPr>
          <w:p>
            <w:pPr>
              <w:spacing w:after="0"/>
              <w:rPr>
                <w:sz w:val="1"/>
                <w:szCs w:val="1"/>
                <w:color w:val="auto"/>
              </w:rPr>
            </w:pPr>
          </w:p>
        </w:tc>
      </w:tr>
      <w:tr>
        <w:trPr>
          <w:trHeight w:val="173"/>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00" w:type="dxa"/>
            <w:vAlign w:val="bottom"/>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Index (2)</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80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Value (3)</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33"/>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Sentry Centers Holdings, LLC (10) (13)</w:t>
            </w:r>
          </w:p>
        </w:tc>
        <w:tc>
          <w:tcPr>
            <w:tcW w:w="100" w:type="dxa"/>
            <w:vAlign w:val="bottom"/>
          </w:tcPr>
          <w:p>
            <w:pPr>
              <w:spacing w:after="0"/>
              <w:rPr>
                <w:sz w:val="11"/>
                <w:szCs w:val="11"/>
                <w:color w:val="auto"/>
              </w:rPr>
            </w:pPr>
          </w:p>
        </w:tc>
        <w:tc>
          <w:tcPr>
            <w:tcW w:w="176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Convention and Trade Show</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Organizers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Preferred Equity (1,603 Series B units)</w:t>
            </w: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780" w:type="dxa"/>
            <w:vAlign w:val="bottom"/>
            <w:gridSpan w:val="2"/>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9/4/2020</w:t>
            </w: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line="139" w:lineRule="exact"/>
              <w:rPr>
                <w:sz w:val="20"/>
                <w:szCs w:val="20"/>
                <w:color w:val="auto"/>
              </w:rPr>
            </w:pPr>
            <w:r>
              <w:rPr>
                <w:rFonts w:ascii="Times New Roman" w:cs="Times New Roman" w:eastAsia="Times New Roman" w:hAnsi="Times New Roman"/>
                <w:sz w:val="14"/>
                <w:szCs w:val="14"/>
                <w:color w:val="auto"/>
              </w:rPr>
              <w:t>New Single-Family Housing</w:t>
            </w: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Signal Parent, Inc. (14) (15)</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color w:val="auto"/>
              </w:rPr>
              <w:t>Construction (except For-Sale</w:t>
            </w: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Builders)</w:t>
            </w: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7.44%</w:t>
            </w:r>
          </w:p>
        </w:tc>
        <w:tc>
          <w:tcPr>
            <w:tcW w:w="120" w:type="dxa"/>
            <w:vAlign w:val="bottom"/>
          </w:tcPr>
          <w:p>
            <w:pPr>
              <w:spacing w:after="0"/>
              <w:rPr>
                <w:sz w:val="12"/>
                <w:szCs w:val="12"/>
                <w:color w:val="auto"/>
              </w:rPr>
            </w:pPr>
          </w:p>
        </w:tc>
        <w:tc>
          <w:tcPr>
            <w:tcW w:w="88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3/25/2021</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4/3/2028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1,513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1,096</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+3.50%</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SS Acquisition, LLC (19)</w:t>
            </w:r>
          </w:p>
        </w:tc>
        <w:tc>
          <w:tcPr>
            <w:tcW w:w="100" w:type="dxa"/>
            <w:vAlign w:val="bottom"/>
          </w:tcPr>
          <w:p>
            <w:pPr>
              <w:spacing w:after="0"/>
              <w:rPr>
                <w:sz w:val="12"/>
                <w:szCs w:val="12"/>
                <w:color w:val="auto"/>
              </w:rPr>
            </w:pPr>
          </w:p>
        </w:tc>
        <w:tc>
          <w:tcPr>
            <w:tcW w:w="17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Sports and Recreation</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Instruction</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9.42%</w:t>
            </w: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12/20/2024</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12/20/2029</w:t>
            </w:r>
          </w:p>
        </w:tc>
        <w:tc>
          <w:tcPr>
            <w:tcW w:w="1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16,795</w:t>
            </w: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16,728</w:t>
            </w: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68"/>
              <w:spacing w:after="0"/>
              <w:rPr>
                <w:sz w:val="20"/>
                <w:szCs w:val="20"/>
                <w:color w:val="auto"/>
              </w:rPr>
            </w:pPr>
            <w:r>
              <w:rPr>
                <w:rFonts w:ascii="Times New Roman" w:cs="Times New Roman" w:eastAsia="Times New Roman" w:hAnsi="Times New Roman"/>
                <w:sz w:val="14"/>
                <w:szCs w:val="14"/>
                <w:color w:val="auto"/>
              </w:rPr>
              <w:t>16,828</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84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+5.75%</w:t>
            </w:r>
          </w:p>
        </w:tc>
        <w:tc>
          <w:tcPr>
            <w:tcW w:w="78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9.42%</w:t>
            </w:r>
          </w:p>
        </w:tc>
        <w:tc>
          <w:tcPr>
            <w:tcW w:w="120" w:type="dxa"/>
            <w:vAlign w:val="bottom"/>
          </w:tcPr>
          <w:p>
            <w:pPr>
              <w:spacing w:after="0"/>
              <w:rPr>
                <w:sz w:val="12"/>
                <w:szCs w:val="12"/>
                <w:color w:val="auto"/>
              </w:rPr>
            </w:pPr>
          </w:p>
        </w:tc>
        <w:tc>
          <w:tcPr>
            <w:tcW w:w="88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12/20/2024</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12/20/2029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500</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58"/>
        </w:trPr>
        <w:tc>
          <w:tcPr>
            <w:tcW w:w="2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0" w:type="dxa"/>
            <w:vAlign w:val="bottom"/>
            <w:gridSpan w:val="2"/>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+5.75%</w:t>
            </w:r>
          </w:p>
        </w:tc>
        <w:tc>
          <w:tcPr>
            <w:tcW w:w="78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4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17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72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88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40" w:type="dxa"/>
            <w:vAlign w:val="bottom"/>
            <w:shd w:val="clear" w:color="auto" w:fill="CAEEFB"/>
          </w:tcPr>
          <w:p>
            <w:pPr>
              <w:spacing w:after="0"/>
              <w:rPr>
                <w:sz w:val="13"/>
                <w:szCs w:val="13"/>
                <w:color w:val="auto"/>
              </w:rPr>
            </w:pPr>
          </w:p>
        </w:tc>
        <w:tc>
          <w:tcPr>
            <w:tcW w:w="100" w:type="dxa"/>
            <w:vAlign w:val="bottom"/>
            <w:tcBorders>
              <w:top w:val="single" w:sz="8" w:color="auto"/>
            </w:tcBorders>
            <w:shd w:val="clear" w:color="auto" w:fill="CAEEFB"/>
          </w:tcPr>
          <w:p>
            <w:pPr>
              <w:spacing w:after="0"/>
              <w:rPr>
                <w:sz w:val="13"/>
                <w:szCs w:val="13"/>
                <w:color w:val="auto"/>
              </w:rPr>
            </w:pPr>
          </w:p>
        </w:tc>
        <w:tc>
          <w:tcPr>
            <w:tcW w:w="560" w:type="dxa"/>
            <w:vAlign w:val="bottom"/>
            <w:tcBorders>
              <w:top w:val="single" w:sz="8" w:color="auto"/>
            </w:tcBorders>
            <w:shd w:val="clear" w:color="auto" w:fill="CAEEFB"/>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17,295</w:t>
            </w:r>
          </w:p>
        </w:tc>
        <w:tc>
          <w:tcPr>
            <w:tcW w:w="120" w:type="dxa"/>
            <w:vAlign w:val="bottom"/>
            <w:shd w:val="clear" w:color="auto" w:fill="CAEEFB"/>
          </w:tcPr>
          <w:p>
            <w:pPr>
              <w:spacing w:after="0"/>
              <w:rPr>
                <w:sz w:val="13"/>
                <w:szCs w:val="13"/>
                <w:color w:val="auto"/>
              </w:rPr>
            </w:pPr>
          </w:p>
        </w:tc>
        <w:tc>
          <w:tcPr>
            <w:tcW w:w="120" w:type="dxa"/>
            <w:vAlign w:val="bottom"/>
            <w:tcBorders>
              <w:top w:val="single" w:sz="8" w:color="auto"/>
            </w:tcBorders>
            <w:shd w:val="clear" w:color="auto" w:fill="CAEEFB"/>
          </w:tcPr>
          <w:p>
            <w:pPr>
              <w:spacing w:after="0"/>
              <w:rPr>
                <w:sz w:val="13"/>
                <w:szCs w:val="13"/>
                <w:color w:val="auto"/>
              </w:rPr>
            </w:pPr>
          </w:p>
        </w:tc>
        <w:tc>
          <w:tcPr>
            <w:tcW w:w="660" w:type="dxa"/>
            <w:vAlign w:val="bottom"/>
            <w:tcBorders>
              <w:top w:val="single" w:sz="8" w:color="auto"/>
            </w:tcBorders>
            <w:shd w:val="clear" w:color="auto" w:fill="CAEEFB"/>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17,221</w:t>
            </w:r>
          </w:p>
        </w:tc>
        <w:tc>
          <w:tcPr>
            <w:tcW w:w="100" w:type="dxa"/>
            <w:vAlign w:val="bottom"/>
            <w:shd w:val="clear" w:color="auto" w:fill="CAEEFB"/>
          </w:tcPr>
          <w:p>
            <w:pPr>
              <w:spacing w:after="0"/>
              <w:rPr>
                <w:sz w:val="13"/>
                <w:szCs w:val="13"/>
                <w:color w:val="auto"/>
              </w:rPr>
            </w:pPr>
          </w:p>
        </w:tc>
        <w:tc>
          <w:tcPr>
            <w:tcW w:w="140" w:type="dxa"/>
            <w:vAlign w:val="bottom"/>
            <w:tcBorders>
              <w:top w:val="single" w:sz="8" w:color="auto"/>
            </w:tcBorders>
            <w:shd w:val="clear" w:color="auto" w:fill="CAEEFB"/>
          </w:tcPr>
          <w:p>
            <w:pPr>
              <w:spacing w:after="0"/>
              <w:rPr>
                <w:sz w:val="13"/>
                <w:szCs w:val="13"/>
                <w:color w:val="auto"/>
              </w:rPr>
            </w:pPr>
          </w:p>
        </w:tc>
        <w:tc>
          <w:tcPr>
            <w:tcW w:w="660" w:type="dxa"/>
            <w:vAlign w:val="bottom"/>
            <w:tcBorders>
              <w:top w:val="single" w:sz="8" w:color="auto"/>
            </w:tcBorders>
            <w:shd w:val="clear" w:color="auto" w:fill="CAEEFB"/>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17,328</w:t>
            </w:r>
          </w:p>
        </w:tc>
        <w:tc>
          <w:tcPr>
            <w:tcW w:w="100" w:type="dxa"/>
            <w:vAlign w:val="bottom"/>
            <w:shd w:val="clear" w:color="auto" w:fill="CAEEFB"/>
          </w:tcPr>
          <w:p>
            <w:pPr>
              <w:spacing w:after="0"/>
              <w:rPr>
                <w:sz w:val="13"/>
                <w:szCs w:val="13"/>
                <w:color w:val="auto"/>
              </w:rPr>
            </w:pPr>
          </w:p>
        </w:tc>
        <w:tc>
          <w:tcPr>
            <w:tcW w:w="760" w:type="dxa"/>
            <w:vAlign w:val="bottom"/>
            <w:tcBorders>
              <w:top w:val="single" w:sz="8" w:color="auto"/>
            </w:tcBorders>
            <w:shd w:val="clear" w:color="auto" w:fill="CAEEFB"/>
          </w:tcPr>
          <w:p>
            <w:pPr>
              <w:jc w:val="right"/>
              <w:spacing w:after="0" w:line="155" w:lineRule="exact"/>
              <w:rPr>
                <w:sz w:val="20"/>
                <w:szCs w:val="20"/>
                <w:color w:val="auto"/>
              </w:rPr>
            </w:pPr>
            <w:r>
              <w:rPr>
                <w:rFonts w:ascii="Times New Roman" w:cs="Times New Roman" w:eastAsia="Times New Roman" w:hAnsi="Times New Roman"/>
                <w:sz w:val="14"/>
                <w:szCs w:val="14"/>
                <w:color w:val="auto"/>
              </w:rPr>
              <w:t>14.0 %</w:t>
            </w: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Staples, Inc. (14) (15)</w:t>
            </w:r>
          </w:p>
        </w:tc>
        <w:tc>
          <w:tcPr>
            <w:tcW w:w="100" w:type="dxa"/>
            <w:vAlign w:val="bottom"/>
          </w:tcPr>
          <w:p>
            <w:pPr>
              <w:spacing w:after="0"/>
              <w:rPr>
                <w:sz w:val="12"/>
                <w:szCs w:val="12"/>
                <w:color w:val="auto"/>
              </w:rPr>
            </w:pPr>
          </w:p>
        </w:tc>
        <w:tc>
          <w:tcPr>
            <w:tcW w:w="17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Business to Business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Electronic Markets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9.60%</w:t>
            </w: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5/23/2024</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9/4/2029</w:t>
            </w:r>
          </w:p>
        </w:tc>
        <w:tc>
          <w:tcPr>
            <w:tcW w:w="1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2,539</w:t>
            </w: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2,468</w:t>
            </w: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68"/>
              <w:spacing w:after="0"/>
              <w:rPr>
                <w:sz w:val="20"/>
                <w:szCs w:val="20"/>
                <w:color w:val="auto"/>
              </w:rPr>
            </w:pPr>
            <w:r>
              <w:rPr>
                <w:rFonts w:ascii="Times New Roman" w:cs="Times New Roman" w:eastAsia="Times New Roman" w:hAnsi="Times New Roman"/>
                <w:sz w:val="14"/>
                <w:szCs w:val="14"/>
                <w:color w:val="auto"/>
              </w:rPr>
              <w:t>2,418</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84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+5.75%</w:t>
            </w:r>
          </w:p>
        </w:tc>
        <w:tc>
          <w:tcPr>
            <w:tcW w:w="78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TalentSmart Holdings, LLC (10) (13) (19)</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line="139" w:lineRule="exact"/>
              <w:rPr>
                <w:sz w:val="20"/>
                <w:szCs w:val="20"/>
                <w:color w:val="auto"/>
              </w:rPr>
            </w:pPr>
            <w:r>
              <w:rPr>
                <w:rFonts w:ascii="Times New Roman" w:cs="Times New Roman" w:eastAsia="Times New Roman" w:hAnsi="Times New Roman"/>
                <w:sz w:val="14"/>
                <w:szCs w:val="14"/>
                <w:color w:val="auto"/>
              </w:rPr>
              <w:t>Professional and Management</w:t>
            </w: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Development Training</w:t>
            </w: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Common Equity (670 Class A shares)</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10/11/2019</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695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Tolemar Acquisition, Inc.</w:t>
            </w:r>
          </w:p>
        </w:tc>
        <w:tc>
          <w:tcPr>
            <w:tcW w:w="100" w:type="dxa"/>
            <w:vAlign w:val="bottom"/>
          </w:tcPr>
          <w:p>
            <w:pPr>
              <w:spacing w:after="0"/>
              <w:rPr>
                <w:sz w:val="12"/>
                <w:szCs w:val="12"/>
                <w:color w:val="auto"/>
              </w:rPr>
            </w:pPr>
          </w:p>
        </w:tc>
        <w:tc>
          <w:tcPr>
            <w:tcW w:w="17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Motorcycle, Bicycle, and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Parts Manufacturing</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jc w:val="center"/>
              <w:spacing w:after="0" w:line="139" w:lineRule="exact"/>
              <w:rPr>
                <w:sz w:val="20"/>
                <w:szCs w:val="20"/>
                <w:color w:val="auto"/>
              </w:rPr>
            </w:pPr>
            <w:r>
              <w:rPr>
                <w:rFonts w:ascii="Times New Roman" w:cs="Times New Roman" w:eastAsia="Times New Roman" w:hAnsi="Times New Roman"/>
                <w:sz w:val="14"/>
                <w:szCs w:val="14"/>
                <w:color w:val="auto"/>
              </w:rPr>
              <w:t>9.82% cash</w:t>
            </w:r>
          </w:p>
        </w:tc>
        <w:tc>
          <w:tcPr>
            <w:tcW w:w="120" w:type="dxa"/>
            <w:vAlign w:val="bottom"/>
            <w:shd w:val="clear" w:color="auto" w:fill="CAEEFB"/>
          </w:tcPr>
          <w:p>
            <w:pPr>
              <w:spacing w:after="0"/>
              <w:rPr>
                <w:sz w:val="12"/>
                <w:szCs w:val="12"/>
                <w:color w:val="auto"/>
              </w:rPr>
            </w:pPr>
          </w:p>
        </w:tc>
        <w:tc>
          <w:tcPr>
            <w:tcW w:w="880" w:type="dxa"/>
            <w:vAlign w:val="bottom"/>
            <w:vMerge w:val="restart"/>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SOFR</w:t>
            </w: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shd w:val="clear" w:color="auto" w:fill="CAEEFB"/>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 1.25%</w:t>
            </w:r>
          </w:p>
        </w:tc>
        <w:tc>
          <w:tcPr>
            <w:tcW w:w="120" w:type="dxa"/>
            <w:vAlign w:val="bottom"/>
            <w:shd w:val="clear" w:color="auto" w:fill="CAEEFB"/>
          </w:tcPr>
          <w:p>
            <w:pPr>
              <w:spacing w:after="0"/>
              <w:rPr>
                <w:sz w:val="12"/>
                <w:szCs w:val="12"/>
                <w:color w:val="auto"/>
              </w:rPr>
            </w:pPr>
          </w:p>
        </w:tc>
        <w:tc>
          <w:tcPr>
            <w:tcW w:w="880" w:type="dxa"/>
            <w:vAlign w:val="bottom"/>
            <w:vMerge w:val="continue"/>
            <w:shd w:val="clear" w:color="auto" w:fill="CAEEFB"/>
          </w:tcPr>
          <w:p>
            <w:pPr>
              <w:spacing w:after="0"/>
              <w:rPr>
                <w:sz w:val="12"/>
                <w:szCs w:val="12"/>
                <w:color w:val="auto"/>
              </w:rPr>
            </w:pP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10/14/2021</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10/14/2027</w:t>
            </w:r>
          </w:p>
        </w:tc>
        <w:tc>
          <w:tcPr>
            <w:tcW w:w="1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14,443</w:t>
            </w: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14,383</w:t>
            </w: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68"/>
              <w:spacing w:after="0"/>
              <w:rPr>
                <w:sz w:val="20"/>
                <w:szCs w:val="20"/>
                <w:color w:val="auto"/>
              </w:rPr>
            </w:pPr>
            <w:r>
              <w:rPr>
                <w:rFonts w:ascii="Times New Roman" w:cs="Times New Roman" w:eastAsia="Times New Roman" w:hAnsi="Times New Roman"/>
                <w:sz w:val="14"/>
                <w:szCs w:val="14"/>
                <w:color w:val="auto"/>
              </w:rPr>
              <w:t>10,500</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jc w:val="center"/>
              <w:spacing w:after="0"/>
              <w:rPr>
                <w:sz w:val="20"/>
                <w:szCs w:val="20"/>
                <w:color w:val="auto"/>
              </w:rPr>
            </w:pPr>
            <w:r>
              <w:rPr>
                <w:rFonts w:ascii="Times New Roman" w:cs="Times New Roman" w:eastAsia="Times New Roman" w:hAnsi="Times New Roman"/>
                <w:sz w:val="14"/>
                <w:szCs w:val="14"/>
                <w:color w:val="auto"/>
                <w:w w:val="97"/>
              </w:rPr>
              <w:t>PIK</w:t>
            </w: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+6.00%</w:t>
            </w:r>
          </w:p>
        </w:tc>
        <w:tc>
          <w:tcPr>
            <w:tcW w:w="78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9.82%</w:t>
            </w:r>
          </w:p>
        </w:tc>
        <w:tc>
          <w:tcPr>
            <w:tcW w:w="120" w:type="dxa"/>
            <w:vAlign w:val="bottom"/>
          </w:tcPr>
          <w:p>
            <w:pPr>
              <w:spacing w:after="0"/>
              <w:rPr>
                <w:sz w:val="12"/>
                <w:szCs w:val="12"/>
                <w:color w:val="auto"/>
              </w:rPr>
            </w:pPr>
          </w:p>
        </w:tc>
        <w:tc>
          <w:tcPr>
            <w:tcW w:w="88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10/14/2021</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10/14/2027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566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145</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58"/>
        </w:trPr>
        <w:tc>
          <w:tcPr>
            <w:tcW w:w="2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0" w:type="dxa"/>
            <w:vAlign w:val="bottom"/>
            <w:gridSpan w:val="2"/>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+6.00%</w:t>
            </w:r>
          </w:p>
        </w:tc>
        <w:tc>
          <w:tcPr>
            <w:tcW w:w="78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17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72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88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40" w:type="dxa"/>
            <w:vAlign w:val="bottom"/>
            <w:shd w:val="clear" w:color="auto" w:fill="CAEEFB"/>
          </w:tcPr>
          <w:p>
            <w:pPr>
              <w:spacing w:after="0"/>
              <w:rPr>
                <w:sz w:val="13"/>
                <w:szCs w:val="13"/>
                <w:color w:val="auto"/>
              </w:rPr>
            </w:pPr>
          </w:p>
        </w:tc>
        <w:tc>
          <w:tcPr>
            <w:tcW w:w="100" w:type="dxa"/>
            <w:vAlign w:val="bottom"/>
            <w:tcBorders>
              <w:top w:val="single" w:sz="8" w:color="auto"/>
            </w:tcBorders>
            <w:shd w:val="clear" w:color="auto" w:fill="CAEEFB"/>
          </w:tcPr>
          <w:p>
            <w:pPr>
              <w:spacing w:after="0"/>
              <w:rPr>
                <w:sz w:val="13"/>
                <w:szCs w:val="13"/>
                <w:color w:val="auto"/>
              </w:rPr>
            </w:pPr>
          </w:p>
        </w:tc>
        <w:tc>
          <w:tcPr>
            <w:tcW w:w="560" w:type="dxa"/>
            <w:vAlign w:val="bottom"/>
            <w:tcBorders>
              <w:top w:val="single" w:sz="8" w:color="auto"/>
            </w:tcBorders>
            <w:shd w:val="clear" w:color="auto" w:fill="CAEEFB"/>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15,009</w:t>
            </w:r>
          </w:p>
        </w:tc>
        <w:tc>
          <w:tcPr>
            <w:tcW w:w="120" w:type="dxa"/>
            <w:vAlign w:val="bottom"/>
            <w:shd w:val="clear" w:color="auto" w:fill="CAEEFB"/>
          </w:tcPr>
          <w:p>
            <w:pPr>
              <w:spacing w:after="0"/>
              <w:rPr>
                <w:sz w:val="13"/>
                <w:szCs w:val="13"/>
                <w:color w:val="auto"/>
              </w:rPr>
            </w:pPr>
          </w:p>
        </w:tc>
        <w:tc>
          <w:tcPr>
            <w:tcW w:w="120" w:type="dxa"/>
            <w:vAlign w:val="bottom"/>
            <w:tcBorders>
              <w:top w:val="single" w:sz="8" w:color="auto"/>
            </w:tcBorders>
            <w:shd w:val="clear" w:color="auto" w:fill="CAEEFB"/>
          </w:tcPr>
          <w:p>
            <w:pPr>
              <w:spacing w:after="0"/>
              <w:rPr>
                <w:sz w:val="13"/>
                <w:szCs w:val="13"/>
                <w:color w:val="auto"/>
              </w:rPr>
            </w:pPr>
          </w:p>
        </w:tc>
        <w:tc>
          <w:tcPr>
            <w:tcW w:w="660" w:type="dxa"/>
            <w:vAlign w:val="bottom"/>
            <w:tcBorders>
              <w:top w:val="single" w:sz="8" w:color="auto"/>
            </w:tcBorders>
            <w:shd w:val="clear" w:color="auto" w:fill="CAEEFB"/>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14,946</w:t>
            </w:r>
          </w:p>
        </w:tc>
        <w:tc>
          <w:tcPr>
            <w:tcW w:w="100" w:type="dxa"/>
            <w:vAlign w:val="bottom"/>
            <w:shd w:val="clear" w:color="auto" w:fill="CAEEFB"/>
          </w:tcPr>
          <w:p>
            <w:pPr>
              <w:spacing w:after="0"/>
              <w:rPr>
                <w:sz w:val="13"/>
                <w:szCs w:val="13"/>
                <w:color w:val="auto"/>
              </w:rPr>
            </w:pPr>
          </w:p>
        </w:tc>
        <w:tc>
          <w:tcPr>
            <w:tcW w:w="140" w:type="dxa"/>
            <w:vAlign w:val="bottom"/>
            <w:tcBorders>
              <w:top w:val="single" w:sz="8" w:color="auto"/>
            </w:tcBorders>
            <w:shd w:val="clear" w:color="auto" w:fill="CAEEFB"/>
          </w:tcPr>
          <w:p>
            <w:pPr>
              <w:spacing w:after="0"/>
              <w:rPr>
                <w:sz w:val="13"/>
                <w:szCs w:val="13"/>
                <w:color w:val="auto"/>
              </w:rPr>
            </w:pPr>
          </w:p>
        </w:tc>
        <w:tc>
          <w:tcPr>
            <w:tcW w:w="660" w:type="dxa"/>
            <w:vAlign w:val="bottom"/>
            <w:tcBorders>
              <w:top w:val="single" w:sz="8" w:color="auto"/>
            </w:tcBorders>
            <w:shd w:val="clear" w:color="auto" w:fill="CAEEFB"/>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10,645</w:t>
            </w:r>
          </w:p>
        </w:tc>
        <w:tc>
          <w:tcPr>
            <w:tcW w:w="100" w:type="dxa"/>
            <w:vAlign w:val="bottom"/>
            <w:shd w:val="clear" w:color="auto" w:fill="CAEEFB"/>
          </w:tcPr>
          <w:p>
            <w:pPr>
              <w:spacing w:after="0"/>
              <w:rPr>
                <w:sz w:val="13"/>
                <w:szCs w:val="13"/>
                <w:color w:val="auto"/>
              </w:rPr>
            </w:pPr>
          </w:p>
        </w:tc>
        <w:tc>
          <w:tcPr>
            <w:tcW w:w="760" w:type="dxa"/>
            <w:vAlign w:val="bottom"/>
            <w:tcBorders>
              <w:top w:val="single" w:sz="8" w:color="auto"/>
            </w:tcBorders>
            <w:shd w:val="clear" w:color="auto" w:fill="CAEEFB"/>
          </w:tcPr>
          <w:p>
            <w:pPr>
              <w:jc w:val="right"/>
              <w:spacing w:after="0" w:line="155" w:lineRule="exact"/>
              <w:rPr>
                <w:sz w:val="20"/>
                <w:szCs w:val="20"/>
                <w:color w:val="auto"/>
              </w:rPr>
            </w:pPr>
            <w:r>
              <w:rPr>
                <w:rFonts w:ascii="Times New Roman" w:cs="Times New Roman" w:eastAsia="Times New Roman" w:hAnsi="Times New Roman"/>
                <w:sz w:val="14"/>
                <w:szCs w:val="14"/>
                <w:color w:val="auto"/>
              </w:rPr>
              <w:t>8.6 %</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United Biologics Holdings, LLC (10) (13)</w:t>
            </w:r>
          </w:p>
        </w:tc>
        <w:tc>
          <w:tcPr>
            <w:tcW w:w="1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Medical Laboratories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Preferred Equity (4,701 units)</w:t>
            </w: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780" w:type="dxa"/>
            <w:vAlign w:val="bottom"/>
            <w:gridSpan w:val="2"/>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4/16/2013</w:t>
            </w: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540" w:type="dxa"/>
            <w:vAlign w:val="bottom"/>
            <w:shd w:val="clear" w:color="auto" w:fill="CAEEFB"/>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Wellful Inc. (F/K/A KNS Acquisition Corp.)</w:t>
            </w:r>
          </w:p>
        </w:tc>
        <w:tc>
          <w:tcPr>
            <w:tcW w:w="100" w:type="dxa"/>
            <w:vAlign w:val="bottom"/>
            <w:shd w:val="clear" w:color="auto" w:fill="CAEEFB"/>
          </w:tcPr>
          <w:p>
            <w:pPr>
              <w:spacing w:after="0"/>
              <w:rPr>
                <w:sz w:val="11"/>
                <w:szCs w:val="11"/>
                <w:color w:val="auto"/>
              </w:rPr>
            </w:pPr>
          </w:p>
        </w:tc>
        <w:tc>
          <w:tcPr>
            <w:tcW w:w="1760" w:type="dxa"/>
            <w:vAlign w:val="bottom"/>
            <w:shd w:val="clear" w:color="auto" w:fill="CAEEFB"/>
          </w:tcPr>
          <w:p>
            <w:pPr>
              <w:spacing w:after="0" w:line="137" w:lineRule="exact"/>
              <w:rPr>
                <w:sz w:val="20"/>
                <w:szCs w:val="20"/>
                <w:color w:val="auto"/>
              </w:rPr>
            </w:pPr>
            <w:r>
              <w:rPr>
                <w:rFonts w:ascii="Times New Roman" w:cs="Times New Roman" w:eastAsia="Times New Roman" w:hAnsi="Times New Roman"/>
                <w:sz w:val="14"/>
                <w:szCs w:val="14"/>
                <w:color w:val="auto"/>
              </w:rPr>
              <w:t>Electronic Shopping and</w:t>
            </w:r>
          </w:p>
        </w:tc>
        <w:tc>
          <w:tcPr>
            <w:tcW w:w="120" w:type="dxa"/>
            <w:vAlign w:val="bottom"/>
            <w:shd w:val="clear" w:color="auto" w:fill="CAEEFB"/>
          </w:tcPr>
          <w:p>
            <w:pPr>
              <w:spacing w:after="0"/>
              <w:rPr>
                <w:sz w:val="11"/>
                <w:szCs w:val="11"/>
                <w:color w:val="auto"/>
              </w:rPr>
            </w:pPr>
          </w:p>
        </w:tc>
        <w:tc>
          <w:tcPr>
            <w:tcW w:w="720" w:type="dxa"/>
            <w:vAlign w:val="bottom"/>
            <w:shd w:val="clear" w:color="auto" w:fill="CAEEFB"/>
          </w:tcPr>
          <w:p>
            <w:pPr>
              <w:spacing w:after="0"/>
              <w:rPr>
                <w:sz w:val="11"/>
                <w:szCs w:val="11"/>
                <w:color w:val="auto"/>
              </w:rPr>
            </w:pPr>
          </w:p>
        </w:tc>
        <w:tc>
          <w:tcPr>
            <w:tcW w:w="120" w:type="dxa"/>
            <w:vAlign w:val="bottom"/>
            <w:shd w:val="clear" w:color="auto" w:fill="CAEEFB"/>
          </w:tcPr>
          <w:p>
            <w:pPr>
              <w:spacing w:after="0"/>
              <w:rPr>
                <w:sz w:val="11"/>
                <w:szCs w:val="11"/>
                <w:color w:val="auto"/>
              </w:rPr>
            </w:pPr>
          </w:p>
        </w:tc>
        <w:tc>
          <w:tcPr>
            <w:tcW w:w="880" w:type="dxa"/>
            <w:vAlign w:val="bottom"/>
            <w:shd w:val="clear" w:color="auto" w:fill="CAEEFB"/>
          </w:tcPr>
          <w:p>
            <w:pPr>
              <w:spacing w:after="0"/>
              <w:rPr>
                <w:sz w:val="11"/>
                <w:szCs w:val="11"/>
                <w:color w:val="auto"/>
              </w:rPr>
            </w:pPr>
          </w:p>
        </w:tc>
        <w:tc>
          <w:tcPr>
            <w:tcW w:w="120" w:type="dxa"/>
            <w:vAlign w:val="bottom"/>
            <w:shd w:val="clear" w:color="auto" w:fill="CAEEFB"/>
          </w:tcPr>
          <w:p>
            <w:pPr>
              <w:spacing w:after="0"/>
              <w:rPr>
                <w:sz w:val="11"/>
                <w:szCs w:val="11"/>
                <w:color w:val="auto"/>
              </w:rPr>
            </w:pPr>
          </w:p>
        </w:tc>
        <w:tc>
          <w:tcPr>
            <w:tcW w:w="660" w:type="dxa"/>
            <w:vAlign w:val="bottom"/>
            <w:shd w:val="clear" w:color="auto" w:fill="CAEEFB"/>
          </w:tcPr>
          <w:p>
            <w:pPr>
              <w:spacing w:after="0"/>
              <w:rPr>
                <w:sz w:val="11"/>
                <w:szCs w:val="11"/>
                <w:color w:val="auto"/>
              </w:rPr>
            </w:pPr>
          </w:p>
        </w:tc>
        <w:tc>
          <w:tcPr>
            <w:tcW w:w="120" w:type="dxa"/>
            <w:vAlign w:val="bottom"/>
            <w:shd w:val="clear" w:color="auto" w:fill="CAEEFB"/>
          </w:tcPr>
          <w:p>
            <w:pPr>
              <w:spacing w:after="0"/>
              <w:rPr>
                <w:sz w:val="11"/>
                <w:szCs w:val="11"/>
                <w:color w:val="auto"/>
              </w:rPr>
            </w:pPr>
          </w:p>
        </w:tc>
        <w:tc>
          <w:tcPr>
            <w:tcW w:w="660" w:type="dxa"/>
            <w:vAlign w:val="bottom"/>
            <w:shd w:val="clear" w:color="auto" w:fill="CAEEFB"/>
          </w:tcPr>
          <w:p>
            <w:pPr>
              <w:spacing w:after="0"/>
              <w:rPr>
                <w:sz w:val="11"/>
                <w:szCs w:val="11"/>
                <w:color w:val="auto"/>
              </w:rPr>
            </w:pPr>
          </w:p>
        </w:tc>
        <w:tc>
          <w:tcPr>
            <w:tcW w:w="140" w:type="dxa"/>
            <w:vAlign w:val="bottom"/>
            <w:shd w:val="clear" w:color="auto" w:fill="CAEEFB"/>
          </w:tcPr>
          <w:p>
            <w:pPr>
              <w:spacing w:after="0"/>
              <w:rPr>
                <w:sz w:val="11"/>
                <w:szCs w:val="11"/>
                <w:color w:val="auto"/>
              </w:rPr>
            </w:pPr>
          </w:p>
        </w:tc>
        <w:tc>
          <w:tcPr>
            <w:tcW w:w="100" w:type="dxa"/>
            <w:vAlign w:val="bottom"/>
            <w:shd w:val="clear" w:color="auto" w:fill="CAEEFB"/>
          </w:tcPr>
          <w:p>
            <w:pPr>
              <w:spacing w:after="0"/>
              <w:rPr>
                <w:sz w:val="11"/>
                <w:szCs w:val="11"/>
                <w:color w:val="auto"/>
              </w:rPr>
            </w:pPr>
          </w:p>
        </w:tc>
        <w:tc>
          <w:tcPr>
            <w:tcW w:w="560" w:type="dxa"/>
            <w:vAlign w:val="bottom"/>
            <w:shd w:val="clear" w:color="auto" w:fill="CAEEFB"/>
          </w:tcPr>
          <w:p>
            <w:pPr>
              <w:spacing w:after="0"/>
              <w:rPr>
                <w:sz w:val="11"/>
                <w:szCs w:val="11"/>
                <w:color w:val="auto"/>
              </w:rPr>
            </w:pPr>
          </w:p>
        </w:tc>
        <w:tc>
          <w:tcPr>
            <w:tcW w:w="120" w:type="dxa"/>
            <w:vAlign w:val="bottom"/>
            <w:shd w:val="clear" w:color="auto" w:fill="CAEEFB"/>
          </w:tcPr>
          <w:p>
            <w:pPr>
              <w:spacing w:after="0"/>
              <w:rPr>
                <w:sz w:val="11"/>
                <w:szCs w:val="11"/>
                <w:color w:val="auto"/>
              </w:rPr>
            </w:pPr>
          </w:p>
        </w:tc>
        <w:tc>
          <w:tcPr>
            <w:tcW w:w="120" w:type="dxa"/>
            <w:vAlign w:val="bottom"/>
            <w:shd w:val="clear" w:color="auto" w:fill="CAEEFB"/>
          </w:tcPr>
          <w:p>
            <w:pPr>
              <w:spacing w:after="0"/>
              <w:rPr>
                <w:sz w:val="11"/>
                <w:szCs w:val="11"/>
                <w:color w:val="auto"/>
              </w:rPr>
            </w:pPr>
          </w:p>
        </w:tc>
        <w:tc>
          <w:tcPr>
            <w:tcW w:w="660" w:type="dxa"/>
            <w:vAlign w:val="bottom"/>
            <w:shd w:val="clear" w:color="auto" w:fill="CAEEFB"/>
          </w:tcPr>
          <w:p>
            <w:pPr>
              <w:spacing w:after="0"/>
              <w:rPr>
                <w:sz w:val="11"/>
                <w:szCs w:val="11"/>
                <w:color w:val="auto"/>
              </w:rPr>
            </w:pPr>
          </w:p>
        </w:tc>
        <w:tc>
          <w:tcPr>
            <w:tcW w:w="100" w:type="dxa"/>
            <w:vAlign w:val="bottom"/>
            <w:shd w:val="clear" w:color="auto" w:fill="CAEEFB"/>
          </w:tcPr>
          <w:p>
            <w:pPr>
              <w:spacing w:after="0"/>
              <w:rPr>
                <w:sz w:val="11"/>
                <w:szCs w:val="11"/>
                <w:color w:val="auto"/>
              </w:rPr>
            </w:pPr>
          </w:p>
        </w:tc>
        <w:tc>
          <w:tcPr>
            <w:tcW w:w="140" w:type="dxa"/>
            <w:vAlign w:val="bottom"/>
            <w:shd w:val="clear" w:color="auto" w:fill="CAEEFB"/>
          </w:tcPr>
          <w:p>
            <w:pPr>
              <w:spacing w:after="0"/>
              <w:rPr>
                <w:sz w:val="11"/>
                <w:szCs w:val="11"/>
                <w:color w:val="auto"/>
              </w:rPr>
            </w:pPr>
          </w:p>
        </w:tc>
        <w:tc>
          <w:tcPr>
            <w:tcW w:w="660" w:type="dxa"/>
            <w:vAlign w:val="bottom"/>
            <w:shd w:val="clear" w:color="auto" w:fill="CAEEFB"/>
          </w:tcPr>
          <w:p>
            <w:pPr>
              <w:spacing w:after="0"/>
              <w:rPr>
                <w:sz w:val="11"/>
                <w:szCs w:val="11"/>
                <w:color w:val="auto"/>
              </w:rPr>
            </w:pPr>
          </w:p>
        </w:tc>
        <w:tc>
          <w:tcPr>
            <w:tcW w:w="100" w:type="dxa"/>
            <w:vAlign w:val="bottom"/>
            <w:shd w:val="clear" w:color="auto" w:fill="CAEEFB"/>
          </w:tcPr>
          <w:p>
            <w:pPr>
              <w:spacing w:after="0"/>
              <w:rPr>
                <w:sz w:val="11"/>
                <w:szCs w:val="11"/>
                <w:color w:val="auto"/>
              </w:rPr>
            </w:pPr>
          </w:p>
        </w:tc>
        <w:tc>
          <w:tcPr>
            <w:tcW w:w="760" w:type="dxa"/>
            <w:vAlign w:val="bottom"/>
            <w:shd w:val="clear" w:color="auto" w:fill="CAEEFB"/>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(11) (15)</w:t>
            </w:r>
          </w:p>
        </w:tc>
        <w:tc>
          <w:tcPr>
            <w:tcW w:w="100" w:type="dxa"/>
            <w:vAlign w:val="bottom"/>
            <w:shd w:val="clear" w:color="auto" w:fill="CAEEFB"/>
          </w:tcPr>
          <w:p>
            <w:pPr>
              <w:spacing w:after="0"/>
              <w:rPr>
                <w:sz w:val="15"/>
                <w:szCs w:val="15"/>
                <w:color w:val="auto"/>
              </w:rPr>
            </w:pPr>
          </w:p>
        </w:tc>
        <w:tc>
          <w:tcPr>
            <w:tcW w:w="17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Mail-Order Houses</w:t>
            </w:r>
          </w:p>
        </w:tc>
        <w:tc>
          <w:tcPr>
            <w:tcW w:w="120" w:type="dxa"/>
            <w:vAlign w:val="bottom"/>
            <w:shd w:val="clear" w:color="auto" w:fill="CAEEFB"/>
          </w:tcPr>
          <w:p>
            <w:pPr>
              <w:spacing w:after="0"/>
              <w:rPr>
                <w:sz w:val="15"/>
                <w:szCs w:val="15"/>
                <w:color w:val="auto"/>
              </w:rPr>
            </w:pPr>
          </w:p>
        </w:tc>
        <w:tc>
          <w:tcPr>
            <w:tcW w:w="72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88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66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660" w:type="dxa"/>
            <w:vAlign w:val="bottom"/>
            <w:shd w:val="clear" w:color="auto" w:fill="CAEEFB"/>
          </w:tcPr>
          <w:p>
            <w:pPr>
              <w:spacing w:after="0"/>
              <w:rPr>
                <w:sz w:val="15"/>
                <w:szCs w:val="15"/>
                <w:color w:val="auto"/>
              </w:rPr>
            </w:pPr>
          </w:p>
        </w:tc>
        <w:tc>
          <w:tcPr>
            <w:tcW w:w="14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56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66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140" w:type="dxa"/>
            <w:vAlign w:val="bottom"/>
            <w:shd w:val="clear" w:color="auto" w:fill="CAEEFB"/>
          </w:tcPr>
          <w:p>
            <w:pPr>
              <w:spacing w:after="0"/>
              <w:rPr>
                <w:sz w:val="15"/>
                <w:szCs w:val="15"/>
                <w:color w:val="auto"/>
              </w:rPr>
            </w:pPr>
          </w:p>
        </w:tc>
        <w:tc>
          <w:tcPr>
            <w:tcW w:w="66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760" w:type="dxa"/>
            <w:vAlign w:val="bottom"/>
            <w:shd w:val="clear" w:color="auto" w:fill="CAEEFB"/>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8.33% cash</w:t>
            </w:r>
          </w:p>
        </w:tc>
        <w:tc>
          <w:tcPr>
            <w:tcW w:w="120" w:type="dxa"/>
            <w:vAlign w:val="bottom"/>
          </w:tcPr>
          <w:p>
            <w:pPr>
              <w:spacing w:after="0"/>
              <w:rPr>
                <w:sz w:val="12"/>
                <w:szCs w:val="12"/>
                <w:color w:val="auto"/>
              </w:rPr>
            </w:pPr>
          </w:p>
        </w:tc>
        <w:tc>
          <w:tcPr>
            <w:tcW w:w="88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SOFR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 1.75%</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4/16/2021</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10/19/2030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4,361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4,361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3,738</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PIK</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+6.25%</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Borders>
              <w:bottom w:val="single" w:sz="8" w:color="CAEEFB"/>
            </w:tcBorders>
            <w:shd w:val="clear" w:color="auto" w:fill="CAEEFB"/>
          </w:tcPr>
          <w:p>
            <w:pPr>
              <w:spacing w:after="0"/>
              <w:rPr>
                <w:sz w:val="14"/>
                <w:szCs w:val="14"/>
                <w:color w:val="auto"/>
              </w:rPr>
            </w:pPr>
          </w:p>
        </w:tc>
        <w:tc>
          <w:tcPr>
            <w:tcW w:w="100" w:type="dxa"/>
            <w:vAlign w:val="bottom"/>
            <w:tcBorders>
              <w:bottom w:val="single" w:sz="8" w:color="CAEEFB"/>
            </w:tcBorders>
            <w:shd w:val="clear" w:color="auto" w:fill="CAEEFB"/>
          </w:tcPr>
          <w:p>
            <w:pPr>
              <w:spacing w:after="0"/>
              <w:rPr>
                <w:sz w:val="14"/>
                <w:szCs w:val="14"/>
                <w:color w:val="auto"/>
              </w:rPr>
            </w:pPr>
          </w:p>
        </w:tc>
        <w:tc>
          <w:tcPr>
            <w:tcW w:w="1760" w:type="dxa"/>
            <w:vAlign w:val="bottom"/>
            <w:tcBorders>
              <w:bottom w:val="single" w:sz="8" w:color="CAEEFB"/>
            </w:tcBorders>
            <w:shd w:val="clear" w:color="auto" w:fill="CAEEFB"/>
          </w:tcPr>
          <w:p>
            <w:pPr>
              <w:spacing w:after="0"/>
              <w:rPr>
                <w:sz w:val="14"/>
                <w:szCs w:val="14"/>
                <w:color w:val="auto"/>
              </w:rPr>
            </w:pPr>
          </w:p>
        </w:tc>
        <w:tc>
          <w:tcPr>
            <w:tcW w:w="120" w:type="dxa"/>
            <w:vAlign w:val="bottom"/>
            <w:tcBorders>
              <w:bottom w:val="single" w:sz="8" w:color="CAEEFB"/>
            </w:tcBorders>
            <w:shd w:val="clear" w:color="auto" w:fill="CAEEFB"/>
          </w:tcPr>
          <w:p>
            <w:pPr>
              <w:spacing w:after="0"/>
              <w:rPr>
                <w:sz w:val="14"/>
                <w:szCs w:val="14"/>
                <w:color w:val="auto"/>
              </w:rPr>
            </w:pPr>
          </w:p>
        </w:tc>
        <w:tc>
          <w:tcPr>
            <w:tcW w:w="720" w:type="dxa"/>
            <w:vAlign w:val="bottom"/>
            <w:tcBorders>
              <w:bottom w:val="single" w:sz="8" w:color="CAEEFB"/>
            </w:tcBorders>
            <w:shd w:val="clear" w:color="auto" w:fill="CAEEFB"/>
          </w:tcPr>
          <w:p>
            <w:pPr>
              <w:spacing w:after="0"/>
              <w:rPr>
                <w:sz w:val="14"/>
                <w:szCs w:val="14"/>
                <w:color w:val="auto"/>
              </w:rPr>
            </w:pPr>
          </w:p>
        </w:tc>
        <w:tc>
          <w:tcPr>
            <w:tcW w:w="120" w:type="dxa"/>
            <w:vAlign w:val="bottom"/>
            <w:tcBorders>
              <w:bottom w:val="single" w:sz="8" w:color="CAEEFB"/>
            </w:tcBorders>
            <w:shd w:val="clear" w:color="auto" w:fill="CAEEFB"/>
          </w:tcPr>
          <w:p>
            <w:pPr>
              <w:spacing w:after="0"/>
              <w:rPr>
                <w:sz w:val="14"/>
                <w:szCs w:val="14"/>
                <w:color w:val="auto"/>
              </w:rPr>
            </w:pPr>
          </w:p>
        </w:tc>
        <w:tc>
          <w:tcPr>
            <w:tcW w:w="880" w:type="dxa"/>
            <w:vAlign w:val="bottom"/>
            <w:tcBorders>
              <w:bottom w:val="single" w:sz="8" w:color="CAEEFB"/>
            </w:tcBorders>
            <w:shd w:val="clear" w:color="auto" w:fill="CAEEFB"/>
          </w:tcPr>
          <w:p>
            <w:pPr>
              <w:spacing w:after="0"/>
              <w:rPr>
                <w:sz w:val="14"/>
                <w:szCs w:val="14"/>
                <w:color w:val="auto"/>
              </w:rPr>
            </w:pPr>
          </w:p>
        </w:tc>
        <w:tc>
          <w:tcPr>
            <w:tcW w:w="120" w:type="dxa"/>
            <w:vAlign w:val="bottom"/>
            <w:tcBorders>
              <w:bottom w:val="single" w:sz="8" w:color="CAEEFB"/>
            </w:tcBorders>
            <w:shd w:val="clear" w:color="auto" w:fill="CAEEFB"/>
          </w:tcPr>
          <w:p>
            <w:pPr>
              <w:spacing w:after="0"/>
              <w:rPr>
                <w:sz w:val="14"/>
                <w:szCs w:val="14"/>
                <w:color w:val="auto"/>
              </w:rPr>
            </w:pPr>
          </w:p>
        </w:tc>
        <w:tc>
          <w:tcPr>
            <w:tcW w:w="660" w:type="dxa"/>
            <w:vAlign w:val="bottom"/>
            <w:tcBorders>
              <w:bottom w:val="single" w:sz="8" w:color="CAEEFB"/>
            </w:tcBorders>
            <w:shd w:val="clear" w:color="auto" w:fill="CAEEFB"/>
          </w:tcPr>
          <w:p>
            <w:pPr>
              <w:spacing w:after="0"/>
              <w:rPr>
                <w:sz w:val="14"/>
                <w:szCs w:val="14"/>
                <w:color w:val="auto"/>
              </w:rPr>
            </w:pPr>
          </w:p>
        </w:tc>
        <w:tc>
          <w:tcPr>
            <w:tcW w:w="120" w:type="dxa"/>
            <w:vAlign w:val="bottom"/>
            <w:tcBorders>
              <w:bottom w:val="single" w:sz="8" w:color="CAEEFB"/>
            </w:tcBorders>
            <w:shd w:val="clear" w:color="auto" w:fill="CAEEFB"/>
          </w:tcPr>
          <w:p>
            <w:pPr>
              <w:spacing w:after="0"/>
              <w:rPr>
                <w:sz w:val="14"/>
                <w:szCs w:val="14"/>
                <w:color w:val="auto"/>
              </w:rPr>
            </w:pPr>
          </w:p>
        </w:tc>
        <w:tc>
          <w:tcPr>
            <w:tcW w:w="660" w:type="dxa"/>
            <w:vAlign w:val="bottom"/>
            <w:tcBorders>
              <w:bottom w:val="single" w:sz="8" w:color="CAEEFB"/>
            </w:tcBorders>
            <w:shd w:val="clear" w:color="auto" w:fill="CAEEFB"/>
          </w:tcPr>
          <w:p>
            <w:pPr>
              <w:spacing w:after="0"/>
              <w:rPr>
                <w:sz w:val="14"/>
                <w:szCs w:val="14"/>
                <w:color w:val="auto"/>
              </w:rPr>
            </w:pPr>
          </w:p>
        </w:tc>
        <w:tc>
          <w:tcPr>
            <w:tcW w:w="140" w:type="dxa"/>
            <w:vAlign w:val="bottom"/>
            <w:tcBorders>
              <w:bottom w:val="single" w:sz="8" w:color="CAEEFB"/>
            </w:tcBorders>
            <w:shd w:val="clear" w:color="auto" w:fill="CAEEFB"/>
          </w:tcPr>
          <w:p>
            <w:pPr>
              <w:spacing w:after="0"/>
              <w:rPr>
                <w:sz w:val="14"/>
                <w:szCs w:val="14"/>
                <w:color w:val="auto"/>
              </w:rPr>
            </w:pPr>
          </w:p>
        </w:tc>
        <w:tc>
          <w:tcPr>
            <w:tcW w:w="100" w:type="dxa"/>
            <w:vAlign w:val="bottom"/>
            <w:tcBorders>
              <w:bottom w:val="single" w:sz="8" w:color="auto"/>
            </w:tcBorders>
            <w:shd w:val="clear" w:color="auto" w:fill="CAEEFB"/>
          </w:tcPr>
          <w:p>
            <w:pPr>
              <w:spacing w:after="0"/>
              <w:rPr>
                <w:sz w:val="14"/>
                <w:szCs w:val="14"/>
                <w:color w:val="auto"/>
              </w:rPr>
            </w:pPr>
          </w:p>
        </w:tc>
        <w:tc>
          <w:tcPr>
            <w:tcW w:w="560" w:type="dxa"/>
            <w:vAlign w:val="bottom"/>
            <w:tcBorders>
              <w:bottom w:val="single" w:sz="8" w:color="auto"/>
            </w:tcBorders>
            <w:shd w:val="clear" w:color="auto" w:fill="CAEEFB"/>
          </w:tcPr>
          <w:p>
            <w:pPr>
              <w:spacing w:after="0"/>
              <w:rPr>
                <w:sz w:val="14"/>
                <w:szCs w:val="14"/>
                <w:color w:val="auto"/>
              </w:rPr>
            </w:pPr>
          </w:p>
        </w:tc>
        <w:tc>
          <w:tcPr>
            <w:tcW w:w="120" w:type="dxa"/>
            <w:vAlign w:val="bottom"/>
            <w:tcBorders>
              <w:bottom w:val="single" w:sz="8" w:color="CAEEFB"/>
            </w:tcBorders>
            <w:shd w:val="clear" w:color="auto" w:fill="CAEEFB"/>
          </w:tcPr>
          <w:p>
            <w:pPr>
              <w:spacing w:after="0"/>
              <w:rPr>
                <w:sz w:val="14"/>
                <w:szCs w:val="14"/>
                <w:color w:val="auto"/>
              </w:rPr>
            </w:pPr>
          </w:p>
        </w:tc>
        <w:tc>
          <w:tcPr>
            <w:tcW w:w="120" w:type="dxa"/>
            <w:vAlign w:val="bottom"/>
            <w:tcBorders>
              <w:bottom w:val="single" w:sz="8" w:color="auto"/>
            </w:tcBorders>
            <w:shd w:val="clear" w:color="auto" w:fill="CAEEFB"/>
          </w:tcPr>
          <w:p>
            <w:pPr>
              <w:spacing w:after="0"/>
              <w:rPr>
                <w:sz w:val="14"/>
                <w:szCs w:val="14"/>
                <w:color w:val="auto"/>
              </w:rPr>
            </w:pPr>
          </w:p>
        </w:tc>
        <w:tc>
          <w:tcPr>
            <w:tcW w:w="660" w:type="dxa"/>
            <w:vAlign w:val="bottom"/>
            <w:tcBorders>
              <w:bottom w:val="single" w:sz="8" w:color="auto"/>
            </w:tcBorders>
            <w:shd w:val="clear" w:color="auto" w:fill="CAEEFB"/>
          </w:tcPr>
          <w:p>
            <w:pPr>
              <w:spacing w:after="0"/>
              <w:rPr>
                <w:sz w:val="14"/>
                <w:szCs w:val="14"/>
                <w:color w:val="auto"/>
              </w:rPr>
            </w:pPr>
          </w:p>
        </w:tc>
        <w:tc>
          <w:tcPr>
            <w:tcW w:w="100" w:type="dxa"/>
            <w:vAlign w:val="bottom"/>
            <w:tcBorders>
              <w:bottom w:val="single" w:sz="8" w:color="CAEEFB"/>
            </w:tcBorders>
            <w:shd w:val="clear" w:color="auto" w:fill="CAEEFB"/>
          </w:tcPr>
          <w:p>
            <w:pPr>
              <w:spacing w:after="0"/>
              <w:rPr>
                <w:sz w:val="14"/>
                <w:szCs w:val="14"/>
                <w:color w:val="auto"/>
              </w:rPr>
            </w:pPr>
          </w:p>
        </w:tc>
        <w:tc>
          <w:tcPr>
            <w:tcW w:w="140" w:type="dxa"/>
            <w:vAlign w:val="bottom"/>
            <w:tcBorders>
              <w:bottom w:val="single" w:sz="8" w:color="auto"/>
            </w:tcBorders>
            <w:shd w:val="clear" w:color="auto" w:fill="CAEEFB"/>
          </w:tcPr>
          <w:p>
            <w:pPr>
              <w:spacing w:after="0"/>
              <w:rPr>
                <w:sz w:val="14"/>
                <w:szCs w:val="14"/>
                <w:color w:val="auto"/>
              </w:rPr>
            </w:pPr>
          </w:p>
        </w:tc>
        <w:tc>
          <w:tcPr>
            <w:tcW w:w="660" w:type="dxa"/>
            <w:vAlign w:val="bottom"/>
            <w:tcBorders>
              <w:bottom w:val="single" w:sz="8" w:color="auto"/>
            </w:tcBorders>
            <w:shd w:val="clear" w:color="auto" w:fill="CAEEFB"/>
          </w:tcPr>
          <w:p>
            <w:pPr>
              <w:spacing w:after="0"/>
              <w:rPr>
                <w:sz w:val="14"/>
                <w:szCs w:val="14"/>
                <w:color w:val="auto"/>
              </w:rPr>
            </w:pPr>
          </w:p>
        </w:tc>
        <w:tc>
          <w:tcPr>
            <w:tcW w:w="100" w:type="dxa"/>
            <w:vAlign w:val="bottom"/>
            <w:tcBorders>
              <w:bottom w:val="single" w:sz="8" w:color="CAEEFB"/>
            </w:tcBorders>
            <w:shd w:val="clear" w:color="auto" w:fill="CAEEFB"/>
          </w:tcPr>
          <w:p>
            <w:pPr>
              <w:spacing w:after="0"/>
              <w:rPr>
                <w:sz w:val="14"/>
                <w:szCs w:val="14"/>
                <w:color w:val="auto"/>
              </w:rPr>
            </w:pPr>
          </w:p>
        </w:tc>
        <w:tc>
          <w:tcPr>
            <w:tcW w:w="760" w:type="dxa"/>
            <w:vAlign w:val="bottom"/>
            <w:tcBorders>
              <w:bottom w:val="single" w:sz="8" w:color="auto"/>
            </w:tcBorders>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48"/>
              <w:spacing w:after="0" w:line="119" w:lineRule="exact"/>
              <w:rPr>
                <w:sz w:val="20"/>
                <w:szCs w:val="20"/>
                <w:color w:val="auto"/>
              </w:rPr>
            </w:pPr>
            <w:r>
              <w:rPr>
                <w:rFonts w:ascii="Times New Roman" w:cs="Times New Roman" w:eastAsia="Times New Roman" w:hAnsi="Times New Roman"/>
                <w:sz w:val="13"/>
                <w:szCs w:val="13"/>
                <w:color w:val="auto"/>
              </w:rPr>
              <w:t>216,07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Debt and Equity Investments</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223,115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180,465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146.7 %</w:t>
            </w:r>
          </w:p>
        </w:tc>
        <w:tc>
          <w:tcPr>
            <w:tcW w:w="0" w:type="dxa"/>
            <w:vAlign w:val="bottom"/>
          </w:tcPr>
          <w:p>
            <w:pPr>
              <w:spacing w:after="0"/>
              <w:rPr>
                <w:sz w:val="1"/>
                <w:szCs w:val="1"/>
                <w:color w:val="auto"/>
              </w:rPr>
            </w:pPr>
          </w:p>
        </w:tc>
      </w:tr>
      <w:tr>
        <w:trPr>
          <w:trHeight w:val="155"/>
        </w:trPr>
        <w:tc>
          <w:tcPr>
            <w:tcW w:w="254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17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72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88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40" w:type="dxa"/>
            <w:vAlign w:val="bottom"/>
            <w:shd w:val="clear" w:color="auto" w:fill="CAEEFB"/>
          </w:tcPr>
          <w:p>
            <w:pPr>
              <w:spacing w:after="0"/>
              <w:rPr>
                <w:sz w:val="13"/>
                <w:szCs w:val="13"/>
                <w:color w:val="auto"/>
              </w:rPr>
            </w:pPr>
          </w:p>
        </w:tc>
        <w:tc>
          <w:tcPr>
            <w:tcW w:w="100" w:type="dxa"/>
            <w:vAlign w:val="bottom"/>
            <w:tcBorders>
              <w:top w:val="single" w:sz="8" w:color="auto"/>
            </w:tcBorders>
            <w:shd w:val="clear" w:color="auto" w:fill="CAEEFB"/>
          </w:tcPr>
          <w:p>
            <w:pPr>
              <w:spacing w:after="0"/>
              <w:rPr>
                <w:sz w:val="13"/>
                <w:szCs w:val="13"/>
                <w:color w:val="auto"/>
              </w:rPr>
            </w:pPr>
          </w:p>
        </w:tc>
        <w:tc>
          <w:tcPr>
            <w:tcW w:w="560" w:type="dxa"/>
            <w:vAlign w:val="bottom"/>
            <w:tcBorders>
              <w:top w:val="single" w:sz="8" w:color="auto"/>
            </w:tcBorders>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120" w:type="dxa"/>
            <w:vAlign w:val="bottom"/>
            <w:tcBorders>
              <w:top w:val="single" w:sz="8" w:color="auto"/>
            </w:tcBorders>
            <w:shd w:val="clear" w:color="auto" w:fill="CAEEFB"/>
          </w:tcPr>
          <w:p>
            <w:pPr>
              <w:spacing w:after="0"/>
              <w:rPr>
                <w:sz w:val="13"/>
                <w:szCs w:val="13"/>
                <w:color w:val="auto"/>
              </w:rPr>
            </w:pPr>
          </w:p>
        </w:tc>
        <w:tc>
          <w:tcPr>
            <w:tcW w:w="660" w:type="dxa"/>
            <w:vAlign w:val="bottom"/>
            <w:tcBorders>
              <w:top w:val="single" w:sz="8" w:color="auto"/>
            </w:tcBorders>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140" w:type="dxa"/>
            <w:vAlign w:val="bottom"/>
            <w:tcBorders>
              <w:top w:val="single" w:sz="8" w:color="auto"/>
            </w:tcBorders>
            <w:shd w:val="clear" w:color="auto" w:fill="CAEEFB"/>
          </w:tcPr>
          <w:p>
            <w:pPr>
              <w:spacing w:after="0"/>
              <w:rPr>
                <w:sz w:val="13"/>
                <w:szCs w:val="13"/>
                <w:color w:val="auto"/>
              </w:rPr>
            </w:pPr>
          </w:p>
        </w:tc>
        <w:tc>
          <w:tcPr>
            <w:tcW w:w="660" w:type="dxa"/>
            <w:vAlign w:val="bottom"/>
            <w:tcBorders>
              <w:top w:val="single" w:sz="8" w:color="auto"/>
            </w:tcBorders>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760" w:type="dxa"/>
            <w:vAlign w:val="bottom"/>
            <w:tcBorders>
              <w:top w:val="single" w:sz="8" w:color="auto"/>
            </w:tcBorders>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Structured Finance Securities (8)</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Apex Credit CLO 2020 Ltd. (9) (16)</w:t>
            </w: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9.87%</w:t>
            </w:r>
          </w:p>
        </w:tc>
        <w:tc>
          <w:tcPr>
            <w:tcW w:w="120" w:type="dxa"/>
            <w:vAlign w:val="bottom"/>
          </w:tcPr>
          <w:p>
            <w:pPr>
              <w:spacing w:after="0"/>
              <w:rPr>
                <w:sz w:val="14"/>
                <w:szCs w:val="14"/>
                <w:color w:val="auto"/>
              </w:rPr>
            </w:pPr>
          </w:p>
        </w:tc>
        <w:tc>
          <w:tcPr>
            <w:tcW w:w="8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11/16/2020</w:t>
            </w:r>
          </w:p>
        </w:tc>
        <w:tc>
          <w:tcPr>
            <w:tcW w:w="7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4/20/2035</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11,080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9,173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5,653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Apex Credit CLO 2021 Ltd. (9) (16)</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840" w:type="dxa"/>
            <w:vAlign w:val="bottom"/>
            <w:gridSpan w:val="2"/>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6.51%</w:t>
            </w: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gridSpan w:val="2"/>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5/28/2021</w:t>
            </w:r>
          </w:p>
        </w:tc>
        <w:tc>
          <w:tcPr>
            <w:tcW w:w="780" w:type="dxa"/>
            <w:vAlign w:val="bottom"/>
            <w:gridSpan w:val="2"/>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7/18/2034</w:t>
            </w: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8,630</w:t>
            </w: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5,585</w:t>
            </w: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jc w:val="right"/>
              <w:ind w:right="68"/>
              <w:spacing w:after="0"/>
              <w:rPr>
                <w:sz w:val="20"/>
                <w:szCs w:val="20"/>
                <w:color w:val="auto"/>
              </w:rPr>
            </w:pPr>
            <w:r>
              <w:rPr>
                <w:rFonts w:ascii="Times New Roman" w:cs="Times New Roman" w:eastAsia="Times New Roman" w:hAnsi="Times New Roman"/>
                <w:sz w:val="14"/>
                <w:szCs w:val="14"/>
                <w:color w:val="auto"/>
              </w:rPr>
              <w:t>3,170</w:t>
            </w:r>
          </w:p>
        </w:tc>
        <w:tc>
          <w:tcPr>
            <w:tcW w:w="86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5464810</wp:posOffset>
            </wp:positionH>
            <wp:positionV relativeFrom="paragraph">
              <wp:posOffset>-925195</wp:posOffset>
            </wp:positionV>
            <wp:extent cx="68580" cy="2057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-925195</wp:posOffset>
            </wp:positionV>
            <wp:extent cx="68580" cy="2057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-925195</wp:posOffset>
            </wp:positionV>
            <wp:extent cx="68580" cy="2057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205740"/>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321945</wp:posOffset>
            </wp:positionV>
            <wp:extent cx="71831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504" w:right="318"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Principa</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Spread Above</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w:t>
            </w:r>
          </w:p>
        </w:tc>
        <w:tc>
          <w:tcPr>
            <w:tcW w:w="1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 Net</w:t>
            </w:r>
          </w:p>
        </w:tc>
        <w:tc>
          <w:tcPr>
            <w:tcW w:w="0" w:type="dxa"/>
            <w:vAlign w:val="bottom"/>
          </w:tcPr>
          <w:p>
            <w:pPr>
              <w:spacing w:after="0"/>
              <w:rPr>
                <w:sz w:val="1"/>
                <w:szCs w:val="1"/>
                <w:color w:val="auto"/>
              </w:rPr>
            </w:pPr>
          </w:p>
        </w:tc>
      </w:tr>
      <w:tr>
        <w:trPr>
          <w:trHeight w:val="173"/>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00" w:type="dxa"/>
            <w:vAlign w:val="bottom"/>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Index (2)</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80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Value (3)</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55"/>
        </w:trPr>
        <w:tc>
          <w:tcPr>
            <w:tcW w:w="2540" w:type="dxa"/>
            <w:vAlign w:val="bottom"/>
            <w:shd w:val="clear" w:color="auto" w:fill="CAEEFB"/>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Apex Credit CLO 2022-1 Ltd. (9) (16)</w:t>
            </w:r>
          </w:p>
        </w:tc>
        <w:tc>
          <w:tcPr>
            <w:tcW w:w="100" w:type="dxa"/>
            <w:vAlign w:val="bottom"/>
            <w:shd w:val="clear" w:color="auto" w:fill="CAEEFB"/>
          </w:tcPr>
          <w:p>
            <w:pPr>
              <w:spacing w:after="0"/>
              <w:rPr>
                <w:sz w:val="13"/>
                <w:szCs w:val="13"/>
                <w:color w:val="auto"/>
              </w:rPr>
            </w:pPr>
          </w:p>
        </w:tc>
        <w:tc>
          <w:tcPr>
            <w:tcW w:w="17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72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88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4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5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14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760" w:type="dxa"/>
            <w:vAlign w:val="bottom"/>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20.68%</w:t>
            </w:r>
          </w:p>
        </w:tc>
        <w:tc>
          <w:tcPr>
            <w:tcW w:w="120" w:type="dxa"/>
            <w:vAlign w:val="bottom"/>
          </w:tcPr>
          <w:p>
            <w:pPr>
              <w:spacing w:after="0"/>
              <w:rPr>
                <w:sz w:val="14"/>
                <w:szCs w:val="14"/>
                <w:color w:val="auto"/>
              </w:rPr>
            </w:pPr>
          </w:p>
        </w:tc>
        <w:tc>
          <w:tcPr>
            <w:tcW w:w="8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4/28/2022</w:t>
            </w:r>
          </w:p>
        </w:tc>
        <w:tc>
          <w:tcPr>
            <w:tcW w:w="7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10/22/2038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17,074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9,807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7,929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Battalion CLO XI Ltd.</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Mezzanine Debt - Class E</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10.98%</w:t>
            </w: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4/25/2022</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4/24/2034</w:t>
            </w:r>
          </w:p>
        </w:tc>
        <w:tc>
          <w:tcPr>
            <w:tcW w:w="1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6,000</w:t>
            </w: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5,466</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84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+6.85%</w:t>
            </w:r>
          </w:p>
        </w:tc>
        <w:tc>
          <w:tcPr>
            <w:tcW w:w="78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BlueMountain CLO XXXV Ltd. (9) (16)</w:t>
            </w: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16.45%</w:t>
            </w:r>
          </w:p>
        </w:tc>
        <w:tc>
          <w:tcPr>
            <w:tcW w:w="120" w:type="dxa"/>
            <w:vAlign w:val="bottom"/>
          </w:tcPr>
          <w:p>
            <w:pPr>
              <w:spacing w:after="0"/>
              <w:rPr>
                <w:sz w:val="14"/>
                <w:szCs w:val="14"/>
                <w:color w:val="auto"/>
              </w:rPr>
            </w:pPr>
          </w:p>
        </w:tc>
        <w:tc>
          <w:tcPr>
            <w:tcW w:w="8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10/30/2024</w:t>
            </w:r>
          </w:p>
        </w:tc>
        <w:tc>
          <w:tcPr>
            <w:tcW w:w="7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10/22/2037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5,954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4,644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540" w:type="dxa"/>
            <w:vAlign w:val="bottom"/>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Brightwood Capital MM CLO 2023-1, Ltd.</w:t>
            </w: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(9) (16)</w:t>
            </w: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840" w:type="dxa"/>
            <w:vAlign w:val="bottom"/>
            <w:gridSpan w:val="2"/>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24.50%</w:t>
            </w: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gridSpan w:val="2"/>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9/28/2023</w:t>
            </w:r>
          </w:p>
        </w:tc>
        <w:tc>
          <w:tcPr>
            <w:tcW w:w="780" w:type="dxa"/>
            <w:vAlign w:val="bottom"/>
            <w:gridSpan w:val="2"/>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10/15/2035</w:t>
            </w: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5,494</w:t>
            </w: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4,273</w:t>
            </w: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4,493</w:t>
            </w:r>
          </w:p>
        </w:tc>
        <w:tc>
          <w:tcPr>
            <w:tcW w:w="86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Canyon CLO 2019-1, Ltd. (9) (16)</w:t>
            </w: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21.30%</w:t>
            </w:r>
          </w:p>
        </w:tc>
        <w:tc>
          <w:tcPr>
            <w:tcW w:w="120" w:type="dxa"/>
            <w:vAlign w:val="bottom"/>
          </w:tcPr>
          <w:p>
            <w:pPr>
              <w:spacing w:after="0"/>
              <w:rPr>
                <w:sz w:val="14"/>
                <w:szCs w:val="14"/>
                <w:color w:val="auto"/>
              </w:rPr>
            </w:pPr>
          </w:p>
        </w:tc>
        <w:tc>
          <w:tcPr>
            <w:tcW w:w="8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8/22/2024</w:t>
            </w:r>
          </w:p>
        </w:tc>
        <w:tc>
          <w:tcPr>
            <w:tcW w:w="7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7/15/2037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18,453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9,581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8,539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CBAMR 2017-1, Ltd. (9) (16)</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840" w:type="dxa"/>
            <w:vAlign w:val="bottom"/>
            <w:gridSpan w:val="2"/>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21.02%</w:t>
            </w: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gridSpan w:val="2"/>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8/12/2025</w:t>
            </w:r>
          </w:p>
        </w:tc>
        <w:tc>
          <w:tcPr>
            <w:tcW w:w="780" w:type="dxa"/>
            <w:vAlign w:val="bottom"/>
            <w:gridSpan w:val="2"/>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1/20/2038</w:t>
            </w: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5,100</w:t>
            </w: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1,880</w:t>
            </w: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1,647</w:t>
            </w:r>
          </w:p>
        </w:tc>
        <w:tc>
          <w:tcPr>
            <w:tcW w:w="86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ICG US CLO 2021-3, Ltd. (9) (16)</w:t>
            </w: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26.57%</w:t>
            </w:r>
          </w:p>
        </w:tc>
        <w:tc>
          <w:tcPr>
            <w:tcW w:w="120" w:type="dxa"/>
            <w:vAlign w:val="bottom"/>
          </w:tcPr>
          <w:p>
            <w:pPr>
              <w:spacing w:after="0"/>
              <w:rPr>
                <w:sz w:val="14"/>
                <w:szCs w:val="14"/>
                <w:color w:val="auto"/>
              </w:rPr>
            </w:pPr>
          </w:p>
        </w:tc>
        <w:tc>
          <w:tcPr>
            <w:tcW w:w="8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8/8/2024</w:t>
            </w:r>
          </w:p>
        </w:tc>
        <w:tc>
          <w:tcPr>
            <w:tcW w:w="7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10/20/2034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16,750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7,289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LCM 42 Ltd. (9) (16)</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840" w:type="dxa"/>
            <w:vAlign w:val="bottom"/>
            <w:gridSpan w:val="2"/>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18.54%</w:t>
            </w: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gridSpan w:val="2"/>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12/19/2024</w:t>
            </w:r>
          </w:p>
        </w:tc>
        <w:tc>
          <w:tcPr>
            <w:tcW w:w="780" w:type="dxa"/>
            <w:vAlign w:val="bottom"/>
            <w:gridSpan w:val="2"/>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1/15/2038</w:t>
            </w: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3,500</w:t>
            </w: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3,048</w:t>
            </w: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2,727</w:t>
            </w:r>
          </w:p>
        </w:tc>
        <w:tc>
          <w:tcPr>
            <w:tcW w:w="86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Madison Park Funding XXIX, Ltd. (9) (16)</w:t>
            </w: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17.42%</w:t>
            </w:r>
          </w:p>
        </w:tc>
        <w:tc>
          <w:tcPr>
            <w:tcW w:w="120" w:type="dxa"/>
            <w:vAlign w:val="bottom"/>
          </w:tcPr>
          <w:p>
            <w:pPr>
              <w:spacing w:after="0"/>
              <w:rPr>
                <w:sz w:val="14"/>
                <w:szCs w:val="14"/>
                <w:color w:val="auto"/>
              </w:rPr>
            </w:pPr>
          </w:p>
        </w:tc>
        <w:tc>
          <w:tcPr>
            <w:tcW w:w="8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12/22/2020</w:t>
            </w:r>
          </w:p>
        </w:tc>
        <w:tc>
          <w:tcPr>
            <w:tcW w:w="7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3/25/2038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10,971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3,697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0" w:type="dxa"/>
            <w:vAlign w:val="bottom"/>
          </w:tcPr>
          <w:p>
            <w:pPr>
              <w:spacing w:after="0"/>
              <w:rPr>
                <w:sz w:val="1"/>
                <w:szCs w:val="1"/>
                <w:color w:val="auto"/>
              </w:rPr>
            </w:pPr>
          </w:p>
        </w:tc>
      </w:tr>
      <w:tr>
        <w:trPr>
          <w:trHeight w:val="148"/>
        </w:trPr>
        <w:tc>
          <w:tcPr>
            <w:tcW w:w="25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Trinitas CLO VIII, Ltd. (4) (9) (10) (16)</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840" w:type="dxa"/>
            <w:vAlign w:val="bottom"/>
            <w:gridSpan w:val="2"/>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gridSpan w:val="2"/>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3/4/2021</w:t>
            </w:r>
          </w:p>
        </w:tc>
        <w:tc>
          <w:tcPr>
            <w:tcW w:w="780" w:type="dxa"/>
            <w:vAlign w:val="bottom"/>
            <w:gridSpan w:val="2"/>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7/20/2117</w:t>
            </w: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5,200</w:t>
            </w: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2,318</w:t>
            </w: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163</w:t>
            </w:r>
          </w:p>
        </w:tc>
        <w:tc>
          <w:tcPr>
            <w:tcW w:w="86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Venture 45 CLO, Limited</w:t>
            </w: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Mezzanine Debt - Class E</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11.58%</w:t>
            </w:r>
          </w:p>
        </w:tc>
        <w:tc>
          <w:tcPr>
            <w:tcW w:w="120" w:type="dxa"/>
            <w:vAlign w:val="bottom"/>
          </w:tcPr>
          <w:p>
            <w:pPr>
              <w:spacing w:after="0"/>
              <w:rPr>
                <w:sz w:val="12"/>
                <w:szCs w:val="12"/>
                <w:color w:val="auto"/>
              </w:rPr>
            </w:pPr>
          </w:p>
        </w:tc>
        <w:tc>
          <w:tcPr>
            <w:tcW w:w="88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4/18/2022</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7/20/2035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2,963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2,607</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+7.70%</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Voya CLO 2024-7, Ltd. (9) (16)</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840" w:type="dxa"/>
            <w:vAlign w:val="bottom"/>
            <w:gridSpan w:val="2"/>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16.31%</w:t>
            </w: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gridSpan w:val="2"/>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1/7/2025</w:t>
            </w:r>
          </w:p>
        </w:tc>
        <w:tc>
          <w:tcPr>
            <w:tcW w:w="780" w:type="dxa"/>
            <w:vAlign w:val="bottom"/>
            <w:gridSpan w:val="2"/>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1/20/2038</w:t>
            </w:r>
          </w:p>
        </w:tc>
        <w:tc>
          <w:tcPr>
            <w:tcW w:w="1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4,275</w:t>
            </w: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3,886</w:t>
            </w: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3,581</w:t>
            </w:r>
          </w:p>
        </w:tc>
        <w:tc>
          <w:tcPr>
            <w:tcW w:w="86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40" w:type="dxa"/>
            <w:vAlign w:val="bottom"/>
            <w:shd w:val="clear" w:color="auto" w:fill="CAEEFB"/>
          </w:tcPr>
          <w:p>
            <w:pPr>
              <w:spacing w:after="0"/>
              <w:rPr>
                <w:sz w:val="11"/>
                <w:szCs w:val="11"/>
                <w:color w:val="auto"/>
              </w:rPr>
            </w:pPr>
          </w:p>
        </w:tc>
        <w:tc>
          <w:tcPr>
            <w:tcW w:w="100" w:type="dxa"/>
            <w:vAlign w:val="bottom"/>
            <w:shd w:val="clear" w:color="auto" w:fill="CAEEFB"/>
          </w:tcPr>
          <w:p>
            <w:pPr>
              <w:spacing w:after="0"/>
              <w:rPr>
                <w:sz w:val="11"/>
                <w:szCs w:val="11"/>
                <w:color w:val="auto"/>
              </w:rPr>
            </w:pPr>
          </w:p>
        </w:tc>
        <w:tc>
          <w:tcPr>
            <w:tcW w:w="1760" w:type="dxa"/>
            <w:vAlign w:val="bottom"/>
            <w:shd w:val="clear" w:color="auto" w:fill="CAEEFB"/>
          </w:tcPr>
          <w:p>
            <w:pPr>
              <w:spacing w:after="0"/>
              <w:rPr>
                <w:sz w:val="11"/>
                <w:szCs w:val="11"/>
                <w:color w:val="auto"/>
              </w:rPr>
            </w:pPr>
          </w:p>
        </w:tc>
        <w:tc>
          <w:tcPr>
            <w:tcW w:w="120" w:type="dxa"/>
            <w:vAlign w:val="bottom"/>
            <w:shd w:val="clear" w:color="auto" w:fill="CAEEFB"/>
          </w:tcPr>
          <w:p>
            <w:pPr>
              <w:spacing w:after="0"/>
              <w:rPr>
                <w:sz w:val="11"/>
                <w:szCs w:val="11"/>
                <w:color w:val="auto"/>
              </w:rPr>
            </w:pPr>
          </w:p>
        </w:tc>
        <w:tc>
          <w:tcPr>
            <w:tcW w:w="720" w:type="dxa"/>
            <w:vAlign w:val="bottom"/>
            <w:shd w:val="clear" w:color="auto" w:fill="CAEEFB"/>
          </w:tcPr>
          <w:p>
            <w:pPr>
              <w:spacing w:after="0"/>
              <w:rPr>
                <w:sz w:val="11"/>
                <w:szCs w:val="11"/>
                <w:color w:val="auto"/>
              </w:rPr>
            </w:pPr>
          </w:p>
        </w:tc>
        <w:tc>
          <w:tcPr>
            <w:tcW w:w="120" w:type="dxa"/>
            <w:vAlign w:val="bottom"/>
            <w:shd w:val="clear" w:color="auto" w:fill="CAEEFB"/>
          </w:tcPr>
          <w:p>
            <w:pPr>
              <w:spacing w:after="0"/>
              <w:rPr>
                <w:sz w:val="11"/>
                <w:szCs w:val="11"/>
                <w:color w:val="auto"/>
              </w:rPr>
            </w:pPr>
          </w:p>
        </w:tc>
        <w:tc>
          <w:tcPr>
            <w:tcW w:w="880" w:type="dxa"/>
            <w:vAlign w:val="bottom"/>
            <w:shd w:val="clear" w:color="auto" w:fill="CAEEFB"/>
          </w:tcPr>
          <w:p>
            <w:pPr>
              <w:spacing w:after="0"/>
              <w:rPr>
                <w:sz w:val="11"/>
                <w:szCs w:val="11"/>
                <w:color w:val="auto"/>
              </w:rPr>
            </w:pPr>
          </w:p>
        </w:tc>
        <w:tc>
          <w:tcPr>
            <w:tcW w:w="120" w:type="dxa"/>
            <w:vAlign w:val="bottom"/>
            <w:shd w:val="clear" w:color="auto" w:fill="CAEEFB"/>
          </w:tcPr>
          <w:p>
            <w:pPr>
              <w:spacing w:after="0"/>
              <w:rPr>
                <w:sz w:val="11"/>
                <w:szCs w:val="11"/>
                <w:color w:val="auto"/>
              </w:rPr>
            </w:pPr>
          </w:p>
        </w:tc>
        <w:tc>
          <w:tcPr>
            <w:tcW w:w="660" w:type="dxa"/>
            <w:vAlign w:val="bottom"/>
            <w:shd w:val="clear" w:color="auto" w:fill="CAEEFB"/>
          </w:tcPr>
          <w:p>
            <w:pPr>
              <w:spacing w:after="0"/>
              <w:rPr>
                <w:sz w:val="11"/>
                <w:szCs w:val="11"/>
                <w:color w:val="auto"/>
              </w:rPr>
            </w:pPr>
          </w:p>
        </w:tc>
        <w:tc>
          <w:tcPr>
            <w:tcW w:w="120" w:type="dxa"/>
            <w:vAlign w:val="bottom"/>
            <w:shd w:val="clear" w:color="auto" w:fill="CAEEFB"/>
          </w:tcPr>
          <w:p>
            <w:pPr>
              <w:spacing w:after="0"/>
              <w:rPr>
                <w:sz w:val="11"/>
                <w:szCs w:val="11"/>
                <w:color w:val="auto"/>
              </w:rPr>
            </w:pPr>
          </w:p>
        </w:tc>
        <w:tc>
          <w:tcPr>
            <w:tcW w:w="660" w:type="dxa"/>
            <w:vAlign w:val="bottom"/>
            <w:shd w:val="clear" w:color="auto" w:fill="CAEEFB"/>
          </w:tcPr>
          <w:p>
            <w:pPr>
              <w:spacing w:after="0"/>
              <w:rPr>
                <w:sz w:val="11"/>
                <w:szCs w:val="11"/>
                <w:color w:val="auto"/>
              </w:rPr>
            </w:pPr>
          </w:p>
        </w:tc>
        <w:tc>
          <w:tcPr>
            <w:tcW w:w="140" w:type="dxa"/>
            <w:vAlign w:val="bottom"/>
            <w:shd w:val="clear" w:color="auto" w:fill="CAEEFB"/>
          </w:tcPr>
          <w:p>
            <w:pPr>
              <w:spacing w:after="0"/>
              <w:rPr>
                <w:sz w:val="11"/>
                <w:szCs w:val="11"/>
                <w:color w:val="auto"/>
              </w:rPr>
            </w:pPr>
          </w:p>
        </w:tc>
        <w:tc>
          <w:tcPr>
            <w:tcW w:w="100" w:type="dxa"/>
            <w:vAlign w:val="bottom"/>
            <w:shd w:val="clear" w:color="auto" w:fill="CAEEFB"/>
          </w:tcPr>
          <w:p>
            <w:pPr>
              <w:spacing w:after="0"/>
              <w:rPr>
                <w:sz w:val="11"/>
                <w:szCs w:val="11"/>
                <w:color w:val="auto"/>
              </w:rPr>
            </w:pPr>
          </w:p>
        </w:tc>
        <w:tc>
          <w:tcPr>
            <w:tcW w:w="560" w:type="dxa"/>
            <w:vAlign w:val="bottom"/>
            <w:shd w:val="clear" w:color="auto" w:fill="CAEEFB"/>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123,32</w:t>
            </w:r>
          </w:p>
        </w:tc>
        <w:tc>
          <w:tcPr>
            <w:tcW w:w="120" w:type="dxa"/>
            <w:vAlign w:val="bottom"/>
            <w:shd w:val="clear" w:color="auto" w:fill="CAEEFB"/>
          </w:tcPr>
          <w:p>
            <w:pPr>
              <w:spacing w:after="0"/>
              <w:rPr>
                <w:sz w:val="11"/>
                <w:szCs w:val="11"/>
                <w:color w:val="auto"/>
              </w:rPr>
            </w:pPr>
          </w:p>
        </w:tc>
        <w:tc>
          <w:tcPr>
            <w:tcW w:w="120" w:type="dxa"/>
            <w:vAlign w:val="bottom"/>
            <w:shd w:val="clear" w:color="auto" w:fill="CAEEFB"/>
          </w:tcPr>
          <w:p>
            <w:pPr>
              <w:spacing w:after="0"/>
              <w:rPr>
                <w:sz w:val="11"/>
                <w:szCs w:val="11"/>
                <w:color w:val="auto"/>
              </w:rPr>
            </w:pPr>
          </w:p>
        </w:tc>
        <w:tc>
          <w:tcPr>
            <w:tcW w:w="660" w:type="dxa"/>
            <w:vAlign w:val="bottom"/>
            <w:shd w:val="clear" w:color="auto" w:fill="CAEEFB"/>
          </w:tcPr>
          <w:p>
            <w:pPr>
              <w:spacing w:after="0"/>
              <w:rPr>
                <w:sz w:val="11"/>
                <w:szCs w:val="11"/>
                <w:color w:val="auto"/>
              </w:rPr>
            </w:pPr>
          </w:p>
        </w:tc>
        <w:tc>
          <w:tcPr>
            <w:tcW w:w="100" w:type="dxa"/>
            <w:vAlign w:val="bottom"/>
            <w:shd w:val="clear" w:color="auto" w:fill="CAEEFB"/>
          </w:tcPr>
          <w:p>
            <w:pPr>
              <w:spacing w:after="0"/>
              <w:rPr>
                <w:sz w:val="11"/>
                <w:szCs w:val="11"/>
                <w:color w:val="auto"/>
              </w:rPr>
            </w:pPr>
          </w:p>
        </w:tc>
        <w:tc>
          <w:tcPr>
            <w:tcW w:w="140" w:type="dxa"/>
            <w:vAlign w:val="bottom"/>
            <w:shd w:val="clear" w:color="auto" w:fill="CAEEFB"/>
          </w:tcPr>
          <w:p>
            <w:pPr>
              <w:spacing w:after="0"/>
              <w:rPr>
                <w:sz w:val="11"/>
                <w:szCs w:val="11"/>
                <w:color w:val="auto"/>
              </w:rPr>
            </w:pPr>
          </w:p>
        </w:tc>
        <w:tc>
          <w:tcPr>
            <w:tcW w:w="660" w:type="dxa"/>
            <w:vAlign w:val="bottom"/>
            <w:shd w:val="clear" w:color="auto" w:fill="CAEEFB"/>
          </w:tcPr>
          <w:p>
            <w:pPr>
              <w:spacing w:after="0"/>
              <w:rPr>
                <w:sz w:val="11"/>
                <w:szCs w:val="11"/>
                <w:color w:val="auto"/>
              </w:rPr>
            </w:pPr>
          </w:p>
        </w:tc>
        <w:tc>
          <w:tcPr>
            <w:tcW w:w="100" w:type="dxa"/>
            <w:vAlign w:val="bottom"/>
            <w:shd w:val="clear" w:color="auto" w:fill="CAEEFB"/>
          </w:tcPr>
          <w:p>
            <w:pPr>
              <w:spacing w:after="0"/>
              <w:rPr>
                <w:sz w:val="11"/>
                <w:szCs w:val="11"/>
                <w:color w:val="auto"/>
              </w:rPr>
            </w:pPr>
          </w:p>
        </w:tc>
        <w:tc>
          <w:tcPr>
            <w:tcW w:w="760" w:type="dxa"/>
            <w:vAlign w:val="bottom"/>
            <w:shd w:val="clear" w:color="auto" w:fill="CAEEFB"/>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b w:val="1"/>
                <w:bCs w:val="1"/>
                <w:color w:val="auto"/>
              </w:rPr>
              <w:t>Total Structured Finance Securities</w:t>
            </w: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240" w:type="dxa"/>
            <w:vAlign w:val="bottom"/>
            <w:gridSpan w:val="2"/>
            <w:shd w:val="clear" w:color="auto" w:fill="CAEEFB"/>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gridSpan w:val="2"/>
            <w:shd w:val="clear" w:color="auto" w:fill="CAEEFB"/>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77,633</w:t>
            </w:r>
          </w:p>
        </w:tc>
        <w:tc>
          <w:tcPr>
            <w:tcW w:w="24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61,605</w:t>
            </w:r>
          </w:p>
        </w:tc>
        <w:tc>
          <w:tcPr>
            <w:tcW w:w="86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0" w:type="dxa"/>
            <w:vAlign w:val="bottom"/>
          </w:tcPr>
          <w:p>
            <w:pPr>
              <w:spacing w:after="0"/>
              <w:rPr>
                <w:sz w:val="1"/>
                <w:szCs w:val="1"/>
                <w:color w:val="auto"/>
              </w:rPr>
            </w:pPr>
          </w:p>
        </w:tc>
      </w:tr>
      <w:tr>
        <w:trPr>
          <w:trHeight w:val="155"/>
        </w:trPr>
        <w:tc>
          <w:tcPr>
            <w:tcW w:w="2540" w:type="dxa"/>
            <w:vAlign w:val="bottom"/>
            <w:tcBorders>
              <w:top w:val="single" w:sz="8" w:color="CAEEFB"/>
            </w:tcBorders>
          </w:tcPr>
          <w:p>
            <w:pPr>
              <w:spacing w:after="0"/>
              <w:rPr>
                <w:sz w:val="13"/>
                <w:szCs w:val="13"/>
                <w:color w:val="auto"/>
              </w:rPr>
            </w:pPr>
          </w:p>
        </w:tc>
        <w:tc>
          <w:tcPr>
            <w:tcW w:w="100" w:type="dxa"/>
            <w:vAlign w:val="bottom"/>
            <w:tcBorders>
              <w:top w:val="single" w:sz="8" w:color="CAEEFB"/>
            </w:tcBorders>
          </w:tcPr>
          <w:p>
            <w:pPr>
              <w:spacing w:after="0"/>
              <w:rPr>
                <w:sz w:val="13"/>
                <w:szCs w:val="13"/>
                <w:color w:val="auto"/>
              </w:rPr>
            </w:pPr>
          </w:p>
        </w:tc>
        <w:tc>
          <w:tcPr>
            <w:tcW w:w="1760" w:type="dxa"/>
            <w:vAlign w:val="bottom"/>
            <w:tcBorders>
              <w:top w:val="single" w:sz="8" w:color="CAEEFB"/>
            </w:tcBorders>
          </w:tcPr>
          <w:p>
            <w:pPr>
              <w:spacing w:after="0"/>
              <w:rPr>
                <w:sz w:val="13"/>
                <w:szCs w:val="13"/>
                <w:color w:val="auto"/>
              </w:rPr>
            </w:pPr>
          </w:p>
        </w:tc>
        <w:tc>
          <w:tcPr>
            <w:tcW w:w="120" w:type="dxa"/>
            <w:vAlign w:val="bottom"/>
            <w:tcBorders>
              <w:top w:val="single" w:sz="8" w:color="CAEEFB"/>
            </w:tcBorders>
          </w:tcPr>
          <w:p>
            <w:pPr>
              <w:spacing w:after="0"/>
              <w:rPr>
                <w:sz w:val="13"/>
                <w:szCs w:val="13"/>
                <w:color w:val="auto"/>
              </w:rPr>
            </w:pPr>
          </w:p>
        </w:tc>
        <w:tc>
          <w:tcPr>
            <w:tcW w:w="720" w:type="dxa"/>
            <w:vAlign w:val="bottom"/>
            <w:tcBorders>
              <w:top w:val="single" w:sz="8" w:color="CAEEFB"/>
            </w:tcBorders>
          </w:tcPr>
          <w:p>
            <w:pPr>
              <w:spacing w:after="0"/>
              <w:rPr>
                <w:sz w:val="13"/>
                <w:szCs w:val="13"/>
                <w:color w:val="auto"/>
              </w:rPr>
            </w:pPr>
          </w:p>
        </w:tc>
        <w:tc>
          <w:tcPr>
            <w:tcW w:w="120" w:type="dxa"/>
            <w:vAlign w:val="bottom"/>
            <w:tcBorders>
              <w:top w:val="single" w:sz="8" w:color="CAEEFB"/>
            </w:tcBorders>
          </w:tcPr>
          <w:p>
            <w:pPr>
              <w:spacing w:after="0"/>
              <w:rPr>
                <w:sz w:val="13"/>
                <w:szCs w:val="13"/>
                <w:color w:val="auto"/>
              </w:rPr>
            </w:pPr>
          </w:p>
        </w:tc>
        <w:tc>
          <w:tcPr>
            <w:tcW w:w="880" w:type="dxa"/>
            <w:vAlign w:val="bottom"/>
            <w:tcBorders>
              <w:top w:val="single" w:sz="8" w:color="CAEEFB"/>
            </w:tcBorders>
          </w:tcPr>
          <w:p>
            <w:pPr>
              <w:spacing w:after="0"/>
              <w:rPr>
                <w:sz w:val="13"/>
                <w:szCs w:val="13"/>
                <w:color w:val="auto"/>
              </w:rPr>
            </w:pPr>
          </w:p>
        </w:tc>
        <w:tc>
          <w:tcPr>
            <w:tcW w:w="120" w:type="dxa"/>
            <w:vAlign w:val="bottom"/>
            <w:tcBorders>
              <w:top w:val="single" w:sz="8" w:color="CAEEFB"/>
            </w:tcBorders>
          </w:tcPr>
          <w:p>
            <w:pPr>
              <w:spacing w:after="0"/>
              <w:rPr>
                <w:sz w:val="13"/>
                <w:szCs w:val="13"/>
                <w:color w:val="auto"/>
              </w:rPr>
            </w:pPr>
          </w:p>
        </w:tc>
        <w:tc>
          <w:tcPr>
            <w:tcW w:w="660" w:type="dxa"/>
            <w:vAlign w:val="bottom"/>
            <w:tcBorders>
              <w:top w:val="single" w:sz="8" w:color="CAEEFB"/>
            </w:tcBorders>
          </w:tcPr>
          <w:p>
            <w:pPr>
              <w:spacing w:after="0"/>
              <w:rPr>
                <w:sz w:val="13"/>
                <w:szCs w:val="13"/>
                <w:color w:val="auto"/>
              </w:rPr>
            </w:pPr>
          </w:p>
        </w:tc>
        <w:tc>
          <w:tcPr>
            <w:tcW w:w="120" w:type="dxa"/>
            <w:vAlign w:val="bottom"/>
            <w:tcBorders>
              <w:top w:val="single" w:sz="8" w:color="CAEEFB"/>
            </w:tcBorders>
          </w:tcPr>
          <w:p>
            <w:pPr>
              <w:spacing w:after="0"/>
              <w:rPr>
                <w:sz w:val="13"/>
                <w:szCs w:val="13"/>
                <w:color w:val="auto"/>
              </w:rPr>
            </w:pPr>
          </w:p>
        </w:tc>
        <w:tc>
          <w:tcPr>
            <w:tcW w:w="660" w:type="dxa"/>
            <w:vAlign w:val="bottom"/>
            <w:tcBorders>
              <w:top w:val="single" w:sz="8" w:color="CAEEFB"/>
            </w:tcBorders>
          </w:tcPr>
          <w:p>
            <w:pPr>
              <w:spacing w:after="0"/>
              <w:rPr>
                <w:sz w:val="13"/>
                <w:szCs w:val="13"/>
                <w:color w:val="auto"/>
              </w:rPr>
            </w:pPr>
          </w:p>
        </w:tc>
        <w:tc>
          <w:tcPr>
            <w:tcW w:w="140" w:type="dxa"/>
            <w:vAlign w:val="bottom"/>
            <w:tcBorders>
              <w:top w:val="single" w:sz="8" w:color="CAEEFB"/>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CAEEFB"/>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AEEFB"/>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AEEFB"/>
            </w:tcBorders>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40" w:type="dxa"/>
            <w:vAlign w:val="bottom"/>
            <w:shd w:val="clear" w:color="auto" w:fill="CAEEFB"/>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Non-control/Non-affiliate</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240" w:type="dxa"/>
            <w:vAlign w:val="bottom"/>
            <w:gridSpan w:val="2"/>
            <w:vMerge w:val="restart"/>
            <w:shd w:val="clear" w:color="auto" w:fill="CAEEFB"/>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339,39</w:t>
            </w:r>
          </w:p>
        </w:tc>
        <w:tc>
          <w:tcPr>
            <w:tcW w:w="240" w:type="dxa"/>
            <w:vAlign w:val="bottom"/>
            <w:gridSpan w:val="2"/>
            <w:vMerge w:val="restart"/>
            <w:shd w:val="clear" w:color="auto" w:fill="CAEEFB"/>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300,748</w:t>
            </w:r>
          </w:p>
        </w:tc>
        <w:tc>
          <w:tcPr>
            <w:tcW w:w="24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242,070</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196.5 %</w:t>
            </w: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240" w:type="dxa"/>
            <w:vAlign w:val="bottom"/>
            <w:gridSpan w:val="2"/>
            <w:vMerge w:val="continue"/>
            <w:shd w:val="clear" w:color="auto" w:fill="CAEEFB"/>
          </w:tcPr>
          <w:p>
            <w:pPr>
              <w:spacing w:after="0"/>
              <w:rPr>
                <w:sz w:val="14"/>
                <w:szCs w:val="14"/>
                <w:color w:val="auto"/>
              </w:rPr>
            </w:pPr>
          </w:p>
        </w:tc>
        <w:tc>
          <w:tcPr>
            <w:tcW w:w="5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gridSpan w:val="2"/>
            <w:vMerge w:val="continue"/>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240" w:type="dxa"/>
            <w:vAlign w:val="bottom"/>
            <w:gridSpan w:val="2"/>
            <w:vMerge w:val="continue"/>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40" w:type="dxa"/>
            <w:vAlign w:val="bottom"/>
            <w:shd w:val="clear" w:color="auto" w:fill="CAEEFB"/>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1760" w:type="dxa"/>
            <w:vAlign w:val="bottom"/>
            <w:shd w:val="clear" w:color="auto" w:fill="CAEEFB"/>
          </w:tcPr>
          <w:p>
            <w:pPr>
              <w:spacing w:after="0" w:line="20" w:lineRule="exact"/>
              <w:rPr>
                <w:sz w:val="1"/>
                <w:szCs w:val="1"/>
                <w:color w:val="auto"/>
              </w:rPr>
            </w:pPr>
          </w:p>
        </w:tc>
        <w:tc>
          <w:tcPr>
            <w:tcW w:w="120" w:type="dxa"/>
            <w:vAlign w:val="bottom"/>
            <w:shd w:val="clear" w:color="auto" w:fill="CAEEFB"/>
          </w:tcPr>
          <w:p>
            <w:pPr>
              <w:spacing w:after="0" w:line="20" w:lineRule="exact"/>
              <w:rPr>
                <w:sz w:val="1"/>
                <w:szCs w:val="1"/>
                <w:color w:val="auto"/>
              </w:rPr>
            </w:pPr>
          </w:p>
        </w:tc>
        <w:tc>
          <w:tcPr>
            <w:tcW w:w="720" w:type="dxa"/>
            <w:vAlign w:val="bottom"/>
            <w:shd w:val="clear" w:color="auto" w:fill="CAEEFB"/>
          </w:tcPr>
          <w:p>
            <w:pPr>
              <w:spacing w:after="0" w:line="20" w:lineRule="exact"/>
              <w:rPr>
                <w:sz w:val="1"/>
                <w:szCs w:val="1"/>
                <w:color w:val="auto"/>
              </w:rPr>
            </w:pPr>
          </w:p>
        </w:tc>
        <w:tc>
          <w:tcPr>
            <w:tcW w:w="120" w:type="dxa"/>
            <w:vAlign w:val="bottom"/>
            <w:shd w:val="clear" w:color="auto" w:fill="CAEEFB"/>
          </w:tcPr>
          <w:p>
            <w:pPr>
              <w:spacing w:after="0" w:line="20" w:lineRule="exact"/>
              <w:rPr>
                <w:sz w:val="1"/>
                <w:szCs w:val="1"/>
                <w:color w:val="auto"/>
              </w:rPr>
            </w:pPr>
          </w:p>
        </w:tc>
        <w:tc>
          <w:tcPr>
            <w:tcW w:w="880" w:type="dxa"/>
            <w:vAlign w:val="bottom"/>
            <w:shd w:val="clear" w:color="auto" w:fill="CAEEFB"/>
          </w:tcPr>
          <w:p>
            <w:pPr>
              <w:spacing w:after="0" w:line="20" w:lineRule="exact"/>
              <w:rPr>
                <w:sz w:val="1"/>
                <w:szCs w:val="1"/>
                <w:color w:val="auto"/>
              </w:rPr>
            </w:pPr>
          </w:p>
        </w:tc>
        <w:tc>
          <w:tcPr>
            <w:tcW w:w="120" w:type="dxa"/>
            <w:vAlign w:val="bottom"/>
            <w:shd w:val="clear" w:color="auto" w:fill="CAEEFB"/>
          </w:tcPr>
          <w:p>
            <w:pPr>
              <w:spacing w:after="0" w:line="20" w:lineRule="exact"/>
              <w:rPr>
                <w:sz w:val="1"/>
                <w:szCs w:val="1"/>
                <w:color w:val="auto"/>
              </w:rPr>
            </w:pPr>
          </w:p>
        </w:tc>
        <w:tc>
          <w:tcPr>
            <w:tcW w:w="660" w:type="dxa"/>
            <w:vAlign w:val="bottom"/>
            <w:shd w:val="clear" w:color="auto" w:fill="CAEEFB"/>
          </w:tcPr>
          <w:p>
            <w:pPr>
              <w:spacing w:after="0" w:line="20" w:lineRule="exact"/>
              <w:rPr>
                <w:sz w:val="1"/>
                <w:szCs w:val="1"/>
                <w:color w:val="auto"/>
              </w:rPr>
            </w:pPr>
          </w:p>
        </w:tc>
        <w:tc>
          <w:tcPr>
            <w:tcW w:w="120" w:type="dxa"/>
            <w:vAlign w:val="bottom"/>
            <w:shd w:val="clear" w:color="auto" w:fill="CAEEFB"/>
          </w:tcPr>
          <w:p>
            <w:pPr>
              <w:spacing w:after="0" w:line="20" w:lineRule="exact"/>
              <w:rPr>
                <w:sz w:val="1"/>
                <w:szCs w:val="1"/>
                <w:color w:val="auto"/>
              </w:rPr>
            </w:pPr>
          </w:p>
        </w:tc>
        <w:tc>
          <w:tcPr>
            <w:tcW w:w="660" w:type="dxa"/>
            <w:vAlign w:val="bottom"/>
            <w:shd w:val="clear" w:color="auto" w:fill="CAEEFB"/>
          </w:tcPr>
          <w:p>
            <w:pPr>
              <w:spacing w:after="0" w:line="20" w:lineRule="exact"/>
              <w:rPr>
                <w:sz w:val="1"/>
                <w:szCs w:val="1"/>
                <w:color w:val="auto"/>
              </w:rPr>
            </w:pPr>
          </w:p>
        </w:tc>
        <w:tc>
          <w:tcPr>
            <w:tcW w:w="140" w:type="dxa"/>
            <w:vAlign w:val="bottom"/>
            <w:shd w:val="clear" w:color="auto" w:fill="CAEEFB"/>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AEEFB"/>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5464810</wp:posOffset>
            </wp:positionH>
            <wp:positionV relativeFrom="paragraph">
              <wp:posOffset>-325120</wp:posOffset>
            </wp:positionV>
            <wp:extent cx="68580" cy="1200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-325120</wp:posOffset>
            </wp:positionV>
            <wp:extent cx="68580" cy="1200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-325120</wp:posOffset>
            </wp:positionV>
            <wp:extent cx="68580" cy="1200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5464810</wp:posOffset>
            </wp:positionH>
            <wp:positionV relativeFrom="paragraph">
              <wp:posOffset>-7620</wp:posOffset>
            </wp:positionV>
            <wp:extent cx="68580" cy="1111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-7620</wp:posOffset>
            </wp:positionV>
            <wp:extent cx="68580" cy="1111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-7620</wp:posOffset>
            </wp:positionV>
            <wp:extent cx="68580" cy="1111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11125"/>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321945</wp:posOffset>
            </wp:positionV>
            <wp:extent cx="71831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504" w:right="318"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Principa</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Spread Above</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 Net</w:t>
            </w:r>
          </w:p>
        </w:tc>
        <w:tc>
          <w:tcPr>
            <w:tcW w:w="0" w:type="dxa"/>
            <w:vAlign w:val="bottom"/>
          </w:tcPr>
          <w:p>
            <w:pPr>
              <w:spacing w:after="0"/>
              <w:rPr>
                <w:sz w:val="1"/>
                <w:szCs w:val="1"/>
                <w:color w:val="auto"/>
              </w:rPr>
            </w:pPr>
          </w:p>
        </w:tc>
      </w:tr>
      <w:tr>
        <w:trPr>
          <w:trHeight w:val="173"/>
        </w:trPr>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0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2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Index (2)</w:t>
            </w:r>
          </w:p>
        </w:tc>
        <w:tc>
          <w:tcPr>
            <w:tcW w:w="1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5"/>
                <w:szCs w:val="15"/>
                <w:color w:val="auto"/>
              </w:rPr>
            </w:pPr>
          </w:p>
        </w:tc>
        <w:tc>
          <w:tcPr>
            <w:tcW w:w="1460" w:type="dxa"/>
            <w:vAlign w:val="bottom"/>
            <w:gridSpan w:val="5"/>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Maturity   Amount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8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Value (3)</w:t>
            </w:r>
          </w:p>
        </w:tc>
        <w:tc>
          <w:tcPr>
            <w:tcW w:w="100" w:type="dxa"/>
            <w:vAlign w:val="bottom"/>
          </w:tcPr>
          <w:p>
            <w:pPr>
              <w:spacing w:after="0"/>
              <w:rPr>
                <w:sz w:val="15"/>
                <w:szCs w:val="15"/>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56"/>
        </w:trPr>
        <w:tc>
          <w:tcPr>
            <w:tcW w:w="2540" w:type="dxa"/>
            <w:vAlign w:val="bottom"/>
            <w:tcBorders>
              <w:top w:val="single" w:sz="8" w:color="auto"/>
            </w:tcBorders>
            <w:shd w:val="clear" w:color="auto" w:fill="CAEEFB"/>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Affiliate Investments</w:t>
            </w:r>
          </w:p>
        </w:tc>
        <w:tc>
          <w:tcPr>
            <w:tcW w:w="100" w:type="dxa"/>
            <w:vAlign w:val="bottom"/>
            <w:shd w:val="clear" w:color="auto" w:fill="CAEEFB"/>
          </w:tcPr>
          <w:p>
            <w:pPr>
              <w:spacing w:after="0"/>
              <w:rPr>
                <w:sz w:val="13"/>
                <w:szCs w:val="13"/>
                <w:color w:val="auto"/>
              </w:rPr>
            </w:pPr>
          </w:p>
        </w:tc>
        <w:tc>
          <w:tcPr>
            <w:tcW w:w="1760" w:type="dxa"/>
            <w:vAlign w:val="bottom"/>
            <w:tcBorders>
              <w:top w:val="single" w:sz="8" w:color="auto"/>
            </w:tcBorders>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720" w:type="dxa"/>
            <w:vAlign w:val="bottom"/>
            <w:tcBorders>
              <w:top w:val="single" w:sz="8" w:color="auto"/>
            </w:tcBorders>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880" w:type="dxa"/>
            <w:vAlign w:val="bottom"/>
            <w:tcBorders>
              <w:top w:val="single" w:sz="8" w:color="auto"/>
            </w:tcBorders>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tcBorders>
              <w:top w:val="single" w:sz="8" w:color="auto"/>
            </w:tcBorders>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tcBorders>
              <w:top w:val="single" w:sz="8" w:color="auto"/>
            </w:tcBorders>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20" w:type="dxa"/>
            <w:vAlign w:val="bottom"/>
            <w:shd w:val="clear" w:color="auto" w:fill="CAEEFB"/>
          </w:tcPr>
          <w:p>
            <w:pPr>
              <w:spacing w:after="0"/>
              <w:rPr>
                <w:sz w:val="13"/>
                <w:szCs w:val="13"/>
                <w:color w:val="auto"/>
              </w:rPr>
            </w:pPr>
          </w:p>
        </w:tc>
        <w:tc>
          <w:tcPr>
            <w:tcW w:w="100" w:type="dxa"/>
            <w:vAlign w:val="bottom"/>
            <w:tcBorders>
              <w:top w:val="single" w:sz="8" w:color="auto"/>
            </w:tcBorders>
            <w:shd w:val="clear" w:color="auto" w:fill="CAEEFB"/>
          </w:tcPr>
          <w:p>
            <w:pPr>
              <w:spacing w:after="0"/>
              <w:rPr>
                <w:sz w:val="13"/>
                <w:szCs w:val="13"/>
                <w:color w:val="auto"/>
              </w:rPr>
            </w:pPr>
          </w:p>
        </w:tc>
        <w:tc>
          <w:tcPr>
            <w:tcW w:w="560" w:type="dxa"/>
            <w:vAlign w:val="bottom"/>
            <w:tcBorders>
              <w:top w:val="single" w:sz="8" w:color="auto"/>
            </w:tcBorders>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120" w:type="dxa"/>
            <w:vAlign w:val="bottom"/>
            <w:tcBorders>
              <w:top w:val="single" w:sz="8" w:color="auto"/>
            </w:tcBorders>
            <w:shd w:val="clear" w:color="auto" w:fill="CAEEFB"/>
          </w:tcPr>
          <w:p>
            <w:pPr>
              <w:spacing w:after="0"/>
              <w:rPr>
                <w:sz w:val="13"/>
                <w:szCs w:val="13"/>
                <w:color w:val="auto"/>
              </w:rPr>
            </w:pPr>
          </w:p>
        </w:tc>
        <w:tc>
          <w:tcPr>
            <w:tcW w:w="660" w:type="dxa"/>
            <w:vAlign w:val="bottom"/>
            <w:tcBorders>
              <w:top w:val="single" w:sz="8" w:color="auto"/>
            </w:tcBorders>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140" w:type="dxa"/>
            <w:vAlign w:val="bottom"/>
            <w:tcBorders>
              <w:top w:val="single" w:sz="8" w:color="auto"/>
            </w:tcBorders>
            <w:shd w:val="clear" w:color="auto" w:fill="CAEEFB"/>
          </w:tcPr>
          <w:p>
            <w:pPr>
              <w:spacing w:after="0"/>
              <w:rPr>
                <w:sz w:val="13"/>
                <w:szCs w:val="13"/>
                <w:color w:val="auto"/>
              </w:rPr>
            </w:pPr>
          </w:p>
        </w:tc>
        <w:tc>
          <w:tcPr>
            <w:tcW w:w="660" w:type="dxa"/>
            <w:vAlign w:val="bottom"/>
            <w:tcBorders>
              <w:top w:val="single" w:sz="8" w:color="auto"/>
            </w:tcBorders>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760" w:type="dxa"/>
            <w:vAlign w:val="bottom"/>
            <w:tcBorders>
              <w:top w:val="single" w:sz="8" w:color="auto"/>
            </w:tcBorders>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Office Machinery and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Contract Datascan Holdings, Inc. (17)</w:t>
            </w:r>
          </w:p>
        </w:tc>
        <w:tc>
          <w:tcPr>
            <w:tcW w:w="100" w:type="dxa"/>
            <w:vAlign w:val="bottom"/>
          </w:tcPr>
          <w:p>
            <w:pPr>
              <w:spacing w:after="0"/>
              <w:rPr>
                <w:sz w:val="12"/>
                <w:szCs w:val="12"/>
                <w:color w:val="auto"/>
              </w:rPr>
            </w:pPr>
          </w:p>
        </w:tc>
        <w:tc>
          <w:tcPr>
            <w:tcW w:w="1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Equipment Rental and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Leasing</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shd w:val="clear" w:color="auto" w:fill="CAEEFB"/>
          </w:tcPr>
          <w:p>
            <w:pPr>
              <w:spacing w:after="0" w:line="139" w:lineRule="exact"/>
              <w:rPr>
                <w:sz w:val="20"/>
                <w:szCs w:val="20"/>
                <w:color w:val="auto"/>
              </w:rPr>
            </w:pPr>
            <w:r>
              <w:rPr>
                <w:rFonts w:ascii="Times New Roman" w:cs="Times New Roman" w:eastAsia="Times New Roman" w:hAnsi="Times New Roman"/>
                <w:sz w:val="14"/>
                <w:szCs w:val="14"/>
                <w:color w:val="auto"/>
              </w:rPr>
              <w:t>Preferred Equity (3,061 Series A shares)</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78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8/5/2015</w:t>
            </w: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2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24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9,613</w:t>
            </w:r>
          </w:p>
        </w:tc>
        <w:tc>
          <w:tcPr>
            <w:tcW w:w="24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9,201</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0" w:type="dxa"/>
            <w:vAlign w:val="bottom"/>
          </w:tcPr>
          <w:p>
            <w:pPr>
              <w:spacing w:after="0"/>
              <w:rPr>
                <w:sz w:val="1"/>
                <w:szCs w:val="1"/>
                <w:color w:val="auto"/>
              </w:rPr>
            </w:pPr>
          </w:p>
        </w:tc>
      </w:tr>
      <w:tr>
        <w:trPr>
          <w:trHeight w:val="171"/>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10% PIK</w:t>
            </w: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2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240" w:type="dxa"/>
            <w:vAlign w:val="bottom"/>
            <w:gridSpan w:val="2"/>
            <w:vMerge w:val="continue"/>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240" w:type="dxa"/>
            <w:vAlign w:val="bottom"/>
            <w:gridSpan w:val="2"/>
            <w:vMerge w:val="continue"/>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Preferred Equity (2750 Series C shares),</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8/21/2025</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2,890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2,884</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14% PIK</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Common Equity (11,273 shares) (10)</w:t>
            </w: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780" w:type="dxa"/>
            <w:vAlign w:val="bottom"/>
            <w:gridSpan w:val="2"/>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6/28/2016</w:t>
            </w: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2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25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Warrants (warrants to purchase 224 Series</w:t>
            </w:r>
          </w:p>
        </w:tc>
        <w:tc>
          <w:tcPr>
            <w:tcW w:w="1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8/20/2035</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8/21/2025</w:t>
            </w: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preferred equity shares) (10)</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shd w:val="clear" w:color="auto" w:fill="CAEEFB"/>
          </w:tcPr>
          <w:p>
            <w:pPr>
              <w:spacing w:after="0" w:line="139" w:lineRule="exact"/>
              <w:rPr>
                <w:sz w:val="20"/>
                <w:szCs w:val="20"/>
                <w:color w:val="auto"/>
              </w:rPr>
            </w:pPr>
            <w:r>
              <w:rPr>
                <w:rFonts w:ascii="Times New Roman" w:cs="Times New Roman" w:eastAsia="Times New Roman" w:hAnsi="Times New Roman"/>
                <w:sz w:val="14"/>
                <w:szCs w:val="14"/>
                <w:color w:val="auto"/>
              </w:rPr>
              <w:t>Warrants (warrants to purchase</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8/20/2035</w:t>
            </w:r>
          </w:p>
        </w:tc>
        <w:tc>
          <w:tcPr>
            <w:tcW w:w="120" w:type="dxa"/>
            <w:vAlign w:val="bottom"/>
            <w:shd w:val="clear" w:color="auto" w:fill="CAEEFB"/>
          </w:tcPr>
          <w:p>
            <w:pPr>
              <w:spacing w:after="0"/>
              <w:rPr>
                <w:sz w:val="12"/>
                <w:szCs w:val="12"/>
                <w:color w:val="auto"/>
              </w:rPr>
            </w:pPr>
          </w:p>
        </w:tc>
        <w:tc>
          <w:tcPr>
            <w:tcW w:w="2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color w:val="auto"/>
              </w:rPr>
              <w:t>1,946 shares</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8/21/2025</w:t>
            </w:r>
          </w:p>
        </w:tc>
        <w:tc>
          <w:tcPr>
            <w:tcW w:w="780" w:type="dxa"/>
            <w:vAlign w:val="bottom"/>
            <w:gridSpan w:val="2"/>
            <w:vMerge w:val="continue"/>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2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AEEFB"/>
          </w:tcPr>
          <w:p>
            <w:pPr>
              <w:spacing w:after="0"/>
              <w:rPr>
                <w:sz w:val="12"/>
                <w:szCs w:val="12"/>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8"/>
        </w:trPr>
        <w:tc>
          <w:tcPr>
            <w:tcW w:w="2540" w:type="dxa"/>
            <w:vAlign w:val="bottom"/>
            <w:tcBorders>
              <w:bottom w:val="single" w:sz="8" w:color="CAEEFB"/>
            </w:tcBorders>
            <w:shd w:val="clear" w:color="auto" w:fill="CAEEFB"/>
          </w:tcPr>
          <w:p>
            <w:pPr>
              <w:spacing w:after="0" w:line="158" w:lineRule="exact"/>
              <w:rPr>
                <w:sz w:val="20"/>
                <w:szCs w:val="20"/>
                <w:color w:val="auto"/>
              </w:rPr>
            </w:pPr>
            <w:r>
              <w:rPr>
                <w:rFonts w:ascii="Times New Roman" w:cs="Times New Roman" w:eastAsia="Times New Roman" w:hAnsi="Times New Roman"/>
                <w:sz w:val="14"/>
                <w:szCs w:val="14"/>
                <w:color w:val="auto"/>
              </w:rPr>
              <w:t>of common equity) (10)</w:t>
            </w:r>
          </w:p>
        </w:tc>
        <w:tc>
          <w:tcPr>
            <w:tcW w:w="100" w:type="dxa"/>
            <w:vAlign w:val="bottom"/>
            <w:tcBorders>
              <w:bottom w:val="single" w:sz="8" w:color="CAEEFB"/>
            </w:tcBorders>
            <w:shd w:val="clear" w:color="auto" w:fill="CAEEFB"/>
          </w:tcPr>
          <w:p>
            <w:pPr>
              <w:spacing w:after="0"/>
              <w:rPr>
                <w:sz w:val="13"/>
                <w:szCs w:val="13"/>
                <w:color w:val="auto"/>
              </w:rPr>
            </w:pPr>
          </w:p>
        </w:tc>
        <w:tc>
          <w:tcPr>
            <w:tcW w:w="1760" w:type="dxa"/>
            <w:vAlign w:val="bottom"/>
            <w:tcBorders>
              <w:bottom w:val="single" w:sz="8" w:color="CAEEFB"/>
            </w:tcBorders>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720" w:type="dxa"/>
            <w:vAlign w:val="bottom"/>
            <w:tcBorders>
              <w:bottom w:val="single" w:sz="8" w:color="CAEEFB"/>
            </w:tcBorders>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880" w:type="dxa"/>
            <w:vAlign w:val="bottom"/>
            <w:tcBorders>
              <w:bottom w:val="single" w:sz="8" w:color="CAEEFB"/>
            </w:tcBorders>
            <w:shd w:val="clear" w:color="auto" w:fill="CAEEFB"/>
          </w:tcPr>
          <w:p>
            <w:pPr>
              <w:spacing w:after="0"/>
              <w:rPr>
                <w:sz w:val="13"/>
                <w:szCs w:val="13"/>
                <w:color w:val="auto"/>
              </w:rPr>
            </w:pPr>
          </w:p>
        </w:tc>
        <w:tc>
          <w:tcPr>
            <w:tcW w:w="780" w:type="dxa"/>
            <w:vAlign w:val="bottom"/>
            <w:tcBorders>
              <w:bottom w:val="single" w:sz="8" w:color="CAEEFB"/>
            </w:tcBorders>
            <w:gridSpan w:val="2"/>
            <w:vMerge w:val="continue"/>
            <w:shd w:val="clear" w:color="auto" w:fill="CAEEFB"/>
          </w:tcPr>
          <w:p>
            <w:pPr>
              <w:spacing w:after="0"/>
              <w:rPr>
                <w:sz w:val="13"/>
                <w:szCs w:val="13"/>
                <w:color w:val="auto"/>
              </w:rPr>
            </w:pPr>
          </w:p>
        </w:tc>
        <w:tc>
          <w:tcPr>
            <w:tcW w:w="780" w:type="dxa"/>
            <w:vAlign w:val="bottom"/>
            <w:tcBorders>
              <w:bottom w:val="single" w:sz="8" w:color="CAEEFB"/>
            </w:tcBorders>
            <w:gridSpan w:val="2"/>
            <w:shd w:val="clear" w:color="auto" w:fill="CAEEFB"/>
          </w:tcPr>
          <w:p>
            <w:pPr>
              <w:jc w:val="center"/>
              <w:ind w:left="68"/>
              <w:spacing w:after="0" w:line="158"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AEEFB"/>
            </w:tcBorders>
            <w:shd w:val="clear" w:color="auto" w:fill="CAEEFB"/>
          </w:tcPr>
          <w:p>
            <w:pPr>
              <w:spacing w:after="0"/>
              <w:rPr>
                <w:sz w:val="13"/>
                <w:szCs w:val="13"/>
                <w:color w:val="auto"/>
              </w:rPr>
            </w:pPr>
          </w:p>
        </w:tc>
        <w:tc>
          <w:tcPr>
            <w:tcW w:w="20" w:type="dxa"/>
            <w:vAlign w:val="bottom"/>
            <w:tcBorders>
              <w:bottom w:val="single" w:sz="8" w:color="CAEEFB"/>
            </w:tcBorders>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560" w:type="dxa"/>
            <w:vAlign w:val="bottom"/>
            <w:tcBorders>
              <w:bottom w:val="single" w:sz="8" w:color="CAEEFB"/>
            </w:tcBorders>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120" w:type="dxa"/>
            <w:vAlign w:val="bottom"/>
            <w:tcBorders>
              <w:bottom w:val="single" w:sz="8" w:color="auto"/>
            </w:tcBorders>
            <w:shd w:val="clear" w:color="auto" w:fill="CAEEFB"/>
          </w:tcPr>
          <w:p>
            <w:pPr>
              <w:spacing w:after="0"/>
              <w:rPr>
                <w:sz w:val="13"/>
                <w:szCs w:val="13"/>
                <w:color w:val="auto"/>
              </w:rPr>
            </w:pPr>
          </w:p>
        </w:tc>
        <w:tc>
          <w:tcPr>
            <w:tcW w:w="66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140" w:type="dxa"/>
            <w:vAlign w:val="bottom"/>
            <w:tcBorders>
              <w:bottom w:val="single" w:sz="8" w:color="auto"/>
            </w:tcBorders>
            <w:shd w:val="clear" w:color="auto" w:fill="CAEEFB"/>
          </w:tcPr>
          <w:p>
            <w:pPr>
              <w:spacing w:after="0"/>
              <w:rPr>
                <w:sz w:val="13"/>
                <w:szCs w:val="13"/>
                <w:color w:val="auto"/>
              </w:rPr>
            </w:pPr>
          </w:p>
        </w:tc>
        <w:tc>
          <w:tcPr>
            <w:tcW w:w="66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760" w:type="dxa"/>
            <w:vAlign w:val="bottom"/>
            <w:tcBorders>
              <w:bottom w:val="single" w:sz="8" w:color="auto"/>
            </w:tcBorders>
            <w:vMerge w:val="continue"/>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12,607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12,085</w:t>
            </w:r>
          </w:p>
        </w:tc>
        <w:tc>
          <w:tcPr>
            <w:tcW w:w="8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9.8 %</w:t>
            </w:r>
          </w:p>
        </w:tc>
        <w:tc>
          <w:tcPr>
            <w:tcW w:w="0" w:type="dxa"/>
            <w:vAlign w:val="bottom"/>
          </w:tcPr>
          <w:p>
            <w:pPr>
              <w:spacing w:after="0"/>
              <w:rPr>
                <w:sz w:val="1"/>
                <w:szCs w:val="1"/>
                <w:color w:val="auto"/>
              </w:rPr>
            </w:pPr>
          </w:p>
        </w:tc>
      </w:tr>
      <w:tr>
        <w:trPr>
          <w:trHeight w:val="13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DRS Imaging Services, LLC (10) (13) (19)</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line="139" w:lineRule="exact"/>
              <w:rPr>
                <w:sz w:val="20"/>
                <w:szCs w:val="20"/>
                <w:color w:val="auto"/>
              </w:rPr>
            </w:pPr>
            <w:r>
              <w:rPr>
                <w:rFonts w:ascii="Times New Roman" w:cs="Times New Roman" w:eastAsia="Times New Roman" w:hAnsi="Times New Roman"/>
                <w:sz w:val="14"/>
                <w:szCs w:val="14"/>
                <w:color w:val="auto"/>
              </w:rPr>
              <w:t>Data Processing, Hosting, and</w:t>
            </w: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2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Related Services</w:t>
            </w: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2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Common Equity (1,135 units)</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3/8/2018</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2,671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2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Pfanstiehl Holdings, Inc. (19) (20)</w:t>
            </w:r>
          </w:p>
        </w:tc>
        <w:tc>
          <w:tcPr>
            <w:tcW w:w="100" w:type="dxa"/>
            <w:vAlign w:val="bottom"/>
          </w:tcPr>
          <w:p>
            <w:pPr>
              <w:spacing w:after="0"/>
              <w:rPr>
                <w:sz w:val="12"/>
                <w:szCs w:val="12"/>
                <w:color w:val="auto"/>
              </w:rPr>
            </w:pPr>
          </w:p>
        </w:tc>
        <w:tc>
          <w:tcPr>
            <w:tcW w:w="17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Pharmaceutical Preparation</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Manufacturing</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Common Equity (400 Class A shares)</w:t>
            </w: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780" w:type="dxa"/>
            <w:vAlign w:val="bottom"/>
            <w:gridSpan w:val="2"/>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1/1/2014</w:t>
            </w: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2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79,421</w:t>
            </w:r>
          </w:p>
        </w:tc>
        <w:tc>
          <w:tcPr>
            <w:tcW w:w="86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64.5 %</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SSJA Bariatric Management LLC (19)</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line="139" w:lineRule="exact"/>
              <w:rPr>
                <w:sz w:val="20"/>
                <w:szCs w:val="20"/>
                <w:color w:val="auto"/>
              </w:rPr>
            </w:pPr>
            <w:r>
              <w:rPr>
                <w:rFonts w:ascii="Times New Roman" w:cs="Times New Roman" w:eastAsia="Times New Roman" w:hAnsi="Times New Roman"/>
                <w:sz w:val="14"/>
                <w:szCs w:val="14"/>
                <w:color w:val="auto"/>
              </w:rPr>
              <w:t>Offices of Physicians, Mental</w:t>
            </w:r>
          </w:p>
        </w:tc>
        <w:tc>
          <w:tcPr>
            <w:tcW w:w="120" w:type="dxa"/>
            <w:vAlign w:val="bottom"/>
            <w:shd w:val="clear" w:color="auto" w:fill="CAEEFB"/>
          </w:tcPr>
          <w:p>
            <w:pPr>
              <w:spacing w:after="0"/>
              <w:rPr>
                <w:sz w:val="12"/>
                <w:szCs w:val="12"/>
                <w:color w:val="auto"/>
              </w:rPr>
            </w:pPr>
          </w:p>
        </w:tc>
        <w:tc>
          <w:tcPr>
            <w:tcW w:w="7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2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Health Specialists</w:t>
            </w: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2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(5)</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9.24%</w:t>
            </w:r>
          </w:p>
        </w:tc>
        <w:tc>
          <w:tcPr>
            <w:tcW w:w="120" w:type="dxa"/>
            <w:vAlign w:val="bottom"/>
          </w:tcPr>
          <w:p>
            <w:pPr>
              <w:spacing w:after="0"/>
              <w:rPr>
                <w:sz w:val="12"/>
                <w:szCs w:val="12"/>
                <w:color w:val="auto"/>
              </w:rPr>
            </w:pPr>
          </w:p>
        </w:tc>
        <w:tc>
          <w:tcPr>
            <w:tcW w:w="880" w:type="dxa"/>
            <w:vAlign w:val="bottom"/>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10/31/2025</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10/31/2028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235</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+5.25%</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20" w:type="dxa"/>
            <w:vAlign w:val="bottom"/>
            <w:vMerge w:val="restart"/>
            <w:shd w:val="clear" w:color="auto" w:fill="CAEEFB"/>
          </w:tcPr>
          <w:p>
            <w:pPr>
              <w:jc w:val="center"/>
              <w:spacing w:after="0"/>
              <w:rPr>
                <w:sz w:val="20"/>
                <w:szCs w:val="20"/>
                <w:color w:val="auto"/>
              </w:rPr>
            </w:pPr>
            <w:r>
              <w:rPr>
                <w:rFonts w:ascii="Times New Roman" w:cs="Times New Roman" w:eastAsia="Times New Roman" w:hAnsi="Times New Roman"/>
                <w:sz w:val="14"/>
                <w:szCs w:val="14"/>
                <w:color w:val="auto"/>
                <w:w w:val="99"/>
              </w:rPr>
              <w:t>9.24% PIK</w:t>
            </w: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jc w:val="right"/>
              <w:ind w:right="388"/>
              <w:spacing w:after="0" w:line="139" w:lineRule="exact"/>
              <w:rPr>
                <w:sz w:val="20"/>
                <w:szCs w:val="20"/>
                <w:color w:val="auto"/>
              </w:rPr>
            </w:pPr>
            <w:r>
              <w:rPr>
                <w:rFonts w:ascii="Times New Roman" w:cs="Times New Roman" w:eastAsia="Times New Roman" w:hAnsi="Times New Roman"/>
                <w:sz w:val="14"/>
                <w:szCs w:val="14"/>
                <w:color w:val="auto"/>
              </w:rPr>
              <w:t>SOFR</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12/31/2020</w:t>
            </w:r>
          </w:p>
        </w:tc>
        <w:tc>
          <w:tcPr>
            <w:tcW w:w="780" w:type="dxa"/>
            <w:vAlign w:val="bottom"/>
            <w:gridSpan w:val="2"/>
            <w:vMerge w:val="restart"/>
            <w:shd w:val="clear" w:color="auto" w:fill="CAEEFB"/>
          </w:tcPr>
          <w:p>
            <w:pPr>
              <w:jc w:val="center"/>
              <w:ind w:left="48"/>
              <w:spacing w:after="0"/>
              <w:rPr>
                <w:sz w:val="20"/>
                <w:szCs w:val="20"/>
                <w:color w:val="auto"/>
              </w:rPr>
            </w:pPr>
            <w:r>
              <w:rPr>
                <w:rFonts w:ascii="Times New Roman" w:cs="Times New Roman" w:eastAsia="Times New Roman" w:hAnsi="Times New Roman"/>
                <w:sz w:val="14"/>
                <w:szCs w:val="14"/>
                <w:color w:val="auto"/>
              </w:rPr>
              <w:t>10/31/2028</w:t>
            </w:r>
          </w:p>
        </w:tc>
        <w:tc>
          <w:tcPr>
            <w:tcW w:w="120" w:type="dxa"/>
            <w:vAlign w:val="bottom"/>
            <w:shd w:val="clear" w:color="auto" w:fill="CAEEFB"/>
          </w:tcPr>
          <w:p>
            <w:pPr>
              <w:spacing w:after="0"/>
              <w:rPr>
                <w:sz w:val="12"/>
                <w:szCs w:val="12"/>
                <w:color w:val="auto"/>
              </w:rPr>
            </w:pPr>
          </w:p>
        </w:tc>
        <w:tc>
          <w:tcPr>
            <w:tcW w:w="2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3,804</w:t>
            </w: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3,804</w:t>
            </w: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3,804</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0" w:type="dxa"/>
            <w:vAlign w:val="bottom"/>
          </w:tcPr>
          <w:p>
            <w:pPr>
              <w:spacing w:after="0"/>
              <w:rPr>
                <w:sz w:val="1"/>
                <w:szCs w:val="1"/>
                <w:color w:val="auto"/>
              </w:rPr>
            </w:pPr>
          </w:p>
        </w:tc>
      </w:tr>
      <w:tr>
        <w:trPr>
          <w:trHeight w:val="171"/>
        </w:trPr>
        <w:tc>
          <w:tcPr>
            <w:tcW w:w="2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+5.25%</w:t>
            </w:r>
          </w:p>
        </w:tc>
        <w:tc>
          <w:tcPr>
            <w:tcW w:w="78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2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Common Equity (52,763 Class A units)</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10/31/2025</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9,657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1,729</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158"/>
        </w:trPr>
        <w:tc>
          <w:tcPr>
            <w:tcW w:w="25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(13) (15)</w:t>
            </w: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4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17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72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88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20" w:type="dxa"/>
            <w:vAlign w:val="bottom"/>
            <w:shd w:val="clear" w:color="auto" w:fill="CAEEFB"/>
          </w:tcPr>
          <w:p>
            <w:pPr>
              <w:spacing w:after="0"/>
              <w:rPr>
                <w:sz w:val="13"/>
                <w:szCs w:val="13"/>
                <w:color w:val="auto"/>
              </w:rPr>
            </w:pPr>
          </w:p>
        </w:tc>
        <w:tc>
          <w:tcPr>
            <w:tcW w:w="100" w:type="dxa"/>
            <w:vAlign w:val="bottom"/>
            <w:tcBorders>
              <w:top w:val="single" w:sz="8" w:color="auto"/>
            </w:tcBorders>
            <w:shd w:val="clear" w:color="auto" w:fill="CAEEFB"/>
          </w:tcPr>
          <w:p>
            <w:pPr>
              <w:spacing w:after="0"/>
              <w:rPr>
                <w:sz w:val="13"/>
                <w:szCs w:val="13"/>
                <w:color w:val="auto"/>
              </w:rPr>
            </w:pPr>
          </w:p>
        </w:tc>
        <w:tc>
          <w:tcPr>
            <w:tcW w:w="560" w:type="dxa"/>
            <w:vAlign w:val="bottom"/>
            <w:tcBorders>
              <w:top w:val="single" w:sz="8" w:color="auto"/>
            </w:tcBorders>
            <w:shd w:val="clear" w:color="auto" w:fill="CAEEFB"/>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4,038</w:t>
            </w:r>
          </w:p>
        </w:tc>
        <w:tc>
          <w:tcPr>
            <w:tcW w:w="120" w:type="dxa"/>
            <w:vAlign w:val="bottom"/>
            <w:shd w:val="clear" w:color="auto" w:fill="CAEEFB"/>
          </w:tcPr>
          <w:p>
            <w:pPr>
              <w:spacing w:after="0"/>
              <w:rPr>
                <w:sz w:val="13"/>
                <w:szCs w:val="13"/>
                <w:color w:val="auto"/>
              </w:rPr>
            </w:pPr>
          </w:p>
        </w:tc>
        <w:tc>
          <w:tcPr>
            <w:tcW w:w="120" w:type="dxa"/>
            <w:vAlign w:val="bottom"/>
            <w:tcBorders>
              <w:top w:val="single" w:sz="8" w:color="auto"/>
            </w:tcBorders>
            <w:shd w:val="clear" w:color="auto" w:fill="CAEEFB"/>
          </w:tcPr>
          <w:p>
            <w:pPr>
              <w:spacing w:after="0"/>
              <w:rPr>
                <w:sz w:val="13"/>
                <w:szCs w:val="13"/>
                <w:color w:val="auto"/>
              </w:rPr>
            </w:pPr>
          </w:p>
        </w:tc>
        <w:tc>
          <w:tcPr>
            <w:tcW w:w="660" w:type="dxa"/>
            <w:vAlign w:val="bottom"/>
            <w:tcBorders>
              <w:top w:val="single" w:sz="8" w:color="auto"/>
            </w:tcBorders>
            <w:shd w:val="clear" w:color="auto" w:fill="CAEEFB"/>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13,693</w:t>
            </w:r>
          </w:p>
        </w:tc>
        <w:tc>
          <w:tcPr>
            <w:tcW w:w="100" w:type="dxa"/>
            <w:vAlign w:val="bottom"/>
            <w:shd w:val="clear" w:color="auto" w:fill="CAEEFB"/>
          </w:tcPr>
          <w:p>
            <w:pPr>
              <w:spacing w:after="0"/>
              <w:rPr>
                <w:sz w:val="13"/>
                <w:szCs w:val="13"/>
                <w:color w:val="auto"/>
              </w:rPr>
            </w:pPr>
          </w:p>
        </w:tc>
        <w:tc>
          <w:tcPr>
            <w:tcW w:w="140" w:type="dxa"/>
            <w:vAlign w:val="bottom"/>
            <w:tcBorders>
              <w:top w:val="single" w:sz="8" w:color="auto"/>
            </w:tcBorders>
            <w:shd w:val="clear" w:color="auto" w:fill="CAEEFB"/>
          </w:tcPr>
          <w:p>
            <w:pPr>
              <w:spacing w:after="0"/>
              <w:rPr>
                <w:sz w:val="13"/>
                <w:szCs w:val="13"/>
                <w:color w:val="auto"/>
              </w:rPr>
            </w:pPr>
          </w:p>
        </w:tc>
        <w:tc>
          <w:tcPr>
            <w:tcW w:w="660" w:type="dxa"/>
            <w:vAlign w:val="bottom"/>
            <w:tcBorders>
              <w:top w:val="single" w:sz="8" w:color="auto"/>
            </w:tcBorders>
            <w:shd w:val="clear" w:color="auto" w:fill="CAEEFB"/>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5,768</w:t>
            </w:r>
          </w:p>
        </w:tc>
        <w:tc>
          <w:tcPr>
            <w:tcW w:w="100" w:type="dxa"/>
            <w:vAlign w:val="bottom"/>
            <w:shd w:val="clear" w:color="auto" w:fill="CAEEFB"/>
          </w:tcPr>
          <w:p>
            <w:pPr>
              <w:spacing w:after="0"/>
              <w:rPr>
                <w:sz w:val="13"/>
                <w:szCs w:val="13"/>
                <w:color w:val="auto"/>
              </w:rPr>
            </w:pPr>
          </w:p>
        </w:tc>
        <w:tc>
          <w:tcPr>
            <w:tcW w:w="760" w:type="dxa"/>
            <w:vAlign w:val="bottom"/>
            <w:tcBorders>
              <w:top w:val="single" w:sz="8" w:color="auto"/>
            </w:tcBorders>
            <w:shd w:val="clear" w:color="auto" w:fill="CAEEFB"/>
          </w:tcPr>
          <w:p>
            <w:pPr>
              <w:jc w:val="right"/>
              <w:spacing w:after="0" w:line="155" w:lineRule="exact"/>
              <w:rPr>
                <w:sz w:val="20"/>
                <w:szCs w:val="20"/>
                <w:color w:val="auto"/>
              </w:rPr>
            </w:pPr>
            <w:r>
              <w:rPr>
                <w:rFonts w:ascii="Times New Roman" w:cs="Times New Roman" w:eastAsia="Times New Roman" w:hAnsi="Times New Roman"/>
                <w:sz w:val="14"/>
                <w:szCs w:val="14"/>
                <w:color w:val="auto"/>
              </w:rPr>
              <w:t>4.7 %</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b w:val="1"/>
                <w:bCs w:val="1"/>
                <w:color w:val="auto"/>
              </w:rPr>
              <w:t>Total Affiliate Investments</w:t>
            </w: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20" w:type="dxa"/>
            <w:vAlign w:val="bottom"/>
            <w:gridSpan w:val="5"/>
            <w:shd w:val="clear" w:color="auto" w:fill="CAEEFB"/>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4,038</w:t>
            </w:r>
          </w:p>
        </w:tc>
        <w:tc>
          <w:tcPr>
            <w:tcW w:w="24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27,652</w:t>
            </w:r>
          </w:p>
        </w:tc>
        <w:tc>
          <w:tcPr>
            <w:tcW w:w="24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99,945</w:t>
            </w:r>
          </w:p>
        </w:tc>
        <w:tc>
          <w:tcPr>
            <w:tcW w:w="86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81.2 %</w:t>
            </w:r>
          </w:p>
        </w:tc>
        <w:tc>
          <w:tcPr>
            <w:tcW w:w="0" w:type="dxa"/>
            <w:vAlign w:val="bottom"/>
          </w:tcPr>
          <w:p>
            <w:pPr>
              <w:spacing w:after="0"/>
              <w:rPr>
                <w:sz w:val="1"/>
                <w:szCs w:val="1"/>
                <w:color w:val="auto"/>
              </w:rPr>
            </w:pPr>
          </w:p>
        </w:tc>
      </w:tr>
      <w:tr>
        <w:trPr>
          <w:trHeight w:val="155"/>
        </w:trPr>
        <w:tc>
          <w:tcPr>
            <w:tcW w:w="2540" w:type="dxa"/>
            <w:vAlign w:val="bottom"/>
            <w:tcBorders>
              <w:top w:val="single" w:sz="8" w:color="CAEEFB"/>
            </w:tcBorders>
          </w:tcPr>
          <w:p>
            <w:pPr>
              <w:spacing w:after="0"/>
              <w:rPr>
                <w:sz w:val="13"/>
                <w:szCs w:val="13"/>
                <w:color w:val="auto"/>
              </w:rPr>
            </w:pPr>
          </w:p>
        </w:tc>
        <w:tc>
          <w:tcPr>
            <w:tcW w:w="100" w:type="dxa"/>
            <w:vAlign w:val="bottom"/>
            <w:tcBorders>
              <w:top w:val="single" w:sz="8" w:color="CAEEFB"/>
            </w:tcBorders>
          </w:tcPr>
          <w:p>
            <w:pPr>
              <w:spacing w:after="0"/>
              <w:rPr>
                <w:sz w:val="13"/>
                <w:szCs w:val="13"/>
                <w:color w:val="auto"/>
              </w:rPr>
            </w:pPr>
          </w:p>
        </w:tc>
        <w:tc>
          <w:tcPr>
            <w:tcW w:w="1760" w:type="dxa"/>
            <w:vAlign w:val="bottom"/>
            <w:tcBorders>
              <w:top w:val="single" w:sz="8" w:color="CAEEFB"/>
            </w:tcBorders>
          </w:tcPr>
          <w:p>
            <w:pPr>
              <w:spacing w:after="0"/>
              <w:rPr>
                <w:sz w:val="13"/>
                <w:szCs w:val="13"/>
                <w:color w:val="auto"/>
              </w:rPr>
            </w:pPr>
          </w:p>
        </w:tc>
        <w:tc>
          <w:tcPr>
            <w:tcW w:w="120" w:type="dxa"/>
            <w:vAlign w:val="bottom"/>
            <w:tcBorders>
              <w:top w:val="single" w:sz="8" w:color="CAEEFB"/>
            </w:tcBorders>
          </w:tcPr>
          <w:p>
            <w:pPr>
              <w:spacing w:after="0"/>
              <w:rPr>
                <w:sz w:val="13"/>
                <w:szCs w:val="13"/>
                <w:color w:val="auto"/>
              </w:rPr>
            </w:pPr>
          </w:p>
        </w:tc>
        <w:tc>
          <w:tcPr>
            <w:tcW w:w="720" w:type="dxa"/>
            <w:vAlign w:val="bottom"/>
            <w:tcBorders>
              <w:top w:val="single" w:sz="8" w:color="CAEEFB"/>
            </w:tcBorders>
          </w:tcPr>
          <w:p>
            <w:pPr>
              <w:spacing w:after="0"/>
              <w:rPr>
                <w:sz w:val="13"/>
                <w:szCs w:val="13"/>
                <w:color w:val="auto"/>
              </w:rPr>
            </w:pPr>
          </w:p>
        </w:tc>
        <w:tc>
          <w:tcPr>
            <w:tcW w:w="120" w:type="dxa"/>
            <w:vAlign w:val="bottom"/>
            <w:tcBorders>
              <w:top w:val="single" w:sz="8" w:color="CAEEFB"/>
            </w:tcBorders>
          </w:tcPr>
          <w:p>
            <w:pPr>
              <w:spacing w:after="0"/>
              <w:rPr>
                <w:sz w:val="13"/>
                <w:szCs w:val="13"/>
                <w:color w:val="auto"/>
              </w:rPr>
            </w:pPr>
          </w:p>
        </w:tc>
        <w:tc>
          <w:tcPr>
            <w:tcW w:w="880" w:type="dxa"/>
            <w:vAlign w:val="bottom"/>
            <w:tcBorders>
              <w:top w:val="single" w:sz="8" w:color="CAEEFB"/>
            </w:tcBorders>
          </w:tcPr>
          <w:p>
            <w:pPr>
              <w:spacing w:after="0"/>
              <w:rPr>
                <w:sz w:val="13"/>
                <w:szCs w:val="13"/>
                <w:color w:val="auto"/>
              </w:rPr>
            </w:pPr>
          </w:p>
        </w:tc>
        <w:tc>
          <w:tcPr>
            <w:tcW w:w="120" w:type="dxa"/>
            <w:vAlign w:val="bottom"/>
            <w:tcBorders>
              <w:top w:val="single" w:sz="8" w:color="CAEEFB"/>
            </w:tcBorders>
          </w:tcPr>
          <w:p>
            <w:pPr>
              <w:spacing w:after="0"/>
              <w:rPr>
                <w:sz w:val="13"/>
                <w:szCs w:val="13"/>
                <w:color w:val="auto"/>
              </w:rPr>
            </w:pPr>
          </w:p>
        </w:tc>
        <w:tc>
          <w:tcPr>
            <w:tcW w:w="660" w:type="dxa"/>
            <w:vAlign w:val="bottom"/>
            <w:tcBorders>
              <w:top w:val="single" w:sz="8" w:color="CAEEFB"/>
            </w:tcBorders>
          </w:tcPr>
          <w:p>
            <w:pPr>
              <w:spacing w:after="0"/>
              <w:rPr>
                <w:sz w:val="13"/>
                <w:szCs w:val="13"/>
                <w:color w:val="auto"/>
              </w:rPr>
            </w:pPr>
          </w:p>
        </w:tc>
        <w:tc>
          <w:tcPr>
            <w:tcW w:w="120" w:type="dxa"/>
            <w:vAlign w:val="bottom"/>
            <w:tcBorders>
              <w:top w:val="single" w:sz="8" w:color="CAEEFB"/>
            </w:tcBorders>
          </w:tcPr>
          <w:p>
            <w:pPr>
              <w:spacing w:after="0"/>
              <w:rPr>
                <w:sz w:val="13"/>
                <w:szCs w:val="13"/>
                <w:color w:val="auto"/>
              </w:rPr>
            </w:pPr>
          </w:p>
        </w:tc>
        <w:tc>
          <w:tcPr>
            <w:tcW w:w="660" w:type="dxa"/>
            <w:vAlign w:val="bottom"/>
            <w:tcBorders>
              <w:top w:val="single" w:sz="8" w:color="CAEEFB"/>
            </w:tcBorders>
          </w:tcPr>
          <w:p>
            <w:pPr>
              <w:spacing w:after="0"/>
              <w:rPr>
                <w:sz w:val="13"/>
                <w:szCs w:val="13"/>
                <w:color w:val="auto"/>
              </w:rPr>
            </w:pPr>
          </w:p>
        </w:tc>
        <w:tc>
          <w:tcPr>
            <w:tcW w:w="120" w:type="dxa"/>
            <w:vAlign w:val="bottom"/>
            <w:tcBorders>
              <w:top w:val="single" w:sz="8" w:color="CAEEFB"/>
            </w:tcBorders>
          </w:tcPr>
          <w:p>
            <w:pPr>
              <w:spacing w:after="0"/>
              <w:rPr>
                <w:sz w:val="13"/>
                <w:szCs w:val="13"/>
                <w:color w:val="auto"/>
              </w:rPr>
            </w:pPr>
          </w:p>
        </w:tc>
        <w:tc>
          <w:tcPr>
            <w:tcW w:w="20" w:type="dxa"/>
            <w:vAlign w:val="bottom"/>
            <w:tcBorders>
              <w:top w:val="single" w:sz="8" w:color="CAEEFB"/>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CAEEFB"/>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CAEEFB"/>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CAEEFB"/>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40" w:type="dxa"/>
            <w:vAlign w:val="bottom"/>
            <w:tcBorders>
              <w:bottom w:val="single" w:sz="8" w:color="CAEEFB"/>
            </w:tcBorders>
            <w:shd w:val="clear" w:color="auto" w:fill="CAEEFB"/>
          </w:tcPr>
          <w:p>
            <w:pPr>
              <w:spacing w:after="0"/>
              <w:rPr>
                <w:sz w:val="14"/>
                <w:szCs w:val="14"/>
                <w:color w:val="auto"/>
              </w:rPr>
            </w:pPr>
          </w:p>
        </w:tc>
        <w:tc>
          <w:tcPr>
            <w:tcW w:w="100" w:type="dxa"/>
            <w:vAlign w:val="bottom"/>
            <w:tcBorders>
              <w:bottom w:val="single" w:sz="8" w:color="CAEEFB"/>
            </w:tcBorders>
            <w:shd w:val="clear" w:color="auto" w:fill="CAEEFB"/>
          </w:tcPr>
          <w:p>
            <w:pPr>
              <w:spacing w:after="0"/>
              <w:rPr>
                <w:sz w:val="14"/>
                <w:szCs w:val="14"/>
                <w:color w:val="auto"/>
              </w:rPr>
            </w:pPr>
          </w:p>
        </w:tc>
        <w:tc>
          <w:tcPr>
            <w:tcW w:w="1760" w:type="dxa"/>
            <w:vAlign w:val="bottom"/>
            <w:tcBorders>
              <w:bottom w:val="single" w:sz="8" w:color="CAEEFB"/>
            </w:tcBorders>
            <w:shd w:val="clear" w:color="auto" w:fill="CAEEFB"/>
          </w:tcPr>
          <w:p>
            <w:pPr>
              <w:spacing w:after="0"/>
              <w:rPr>
                <w:sz w:val="14"/>
                <w:szCs w:val="14"/>
                <w:color w:val="auto"/>
              </w:rPr>
            </w:pPr>
          </w:p>
        </w:tc>
        <w:tc>
          <w:tcPr>
            <w:tcW w:w="120" w:type="dxa"/>
            <w:vAlign w:val="bottom"/>
            <w:tcBorders>
              <w:bottom w:val="single" w:sz="8" w:color="CAEEFB"/>
            </w:tcBorders>
            <w:shd w:val="clear" w:color="auto" w:fill="CAEEFB"/>
          </w:tcPr>
          <w:p>
            <w:pPr>
              <w:spacing w:after="0"/>
              <w:rPr>
                <w:sz w:val="14"/>
                <w:szCs w:val="14"/>
                <w:color w:val="auto"/>
              </w:rPr>
            </w:pPr>
          </w:p>
        </w:tc>
        <w:tc>
          <w:tcPr>
            <w:tcW w:w="720" w:type="dxa"/>
            <w:vAlign w:val="bottom"/>
            <w:tcBorders>
              <w:bottom w:val="single" w:sz="8" w:color="CAEEFB"/>
            </w:tcBorders>
            <w:shd w:val="clear" w:color="auto" w:fill="CAEEFB"/>
          </w:tcPr>
          <w:p>
            <w:pPr>
              <w:spacing w:after="0"/>
              <w:rPr>
                <w:sz w:val="14"/>
                <w:szCs w:val="14"/>
                <w:color w:val="auto"/>
              </w:rPr>
            </w:pPr>
          </w:p>
        </w:tc>
        <w:tc>
          <w:tcPr>
            <w:tcW w:w="120" w:type="dxa"/>
            <w:vAlign w:val="bottom"/>
            <w:tcBorders>
              <w:bottom w:val="single" w:sz="8" w:color="CAEEFB"/>
            </w:tcBorders>
            <w:shd w:val="clear" w:color="auto" w:fill="CAEEFB"/>
          </w:tcPr>
          <w:p>
            <w:pPr>
              <w:spacing w:after="0"/>
              <w:rPr>
                <w:sz w:val="14"/>
                <w:szCs w:val="14"/>
                <w:color w:val="auto"/>
              </w:rPr>
            </w:pPr>
          </w:p>
        </w:tc>
        <w:tc>
          <w:tcPr>
            <w:tcW w:w="880" w:type="dxa"/>
            <w:vAlign w:val="bottom"/>
            <w:tcBorders>
              <w:bottom w:val="single" w:sz="8" w:color="CAEEFB"/>
            </w:tcBorders>
            <w:shd w:val="clear" w:color="auto" w:fill="CAEEFB"/>
          </w:tcPr>
          <w:p>
            <w:pPr>
              <w:spacing w:after="0"/>
              <w:rPr>
                <w:sz w:val="14"/>
                <w:szCs w:val="14"/>
                <w:color w:val="auto"/>
              </w:rPr>
            </w:pPr>
          </w:p>
        </w:tc>
        <w:tc>
          <w:tcPr>
            <w:tcW w:w="120" w:type="dxa"/>
            <w:vAlign w:val="bottom"/>
            <w:tcBorders>
              <w:bottom w:val="single" w:sz="8" w:color="CAEEFB"/>
            </w:tcBorders>
            <w:shd w:val="clear" w:color="auto" w:fill="CAEEFB"/>
          </w:tcPr>
          <w:p>
            <w:pPr>
              <w:spacing w:after="0"/>
              <w:rPr>
                <w:sz w:val="14"/>
                <w:szCs w:val="14"/>
                <w:color w:val="auto"/>
              </w:rPr>
            </w:pPr>
          </w:p>
        </w:tc>
        <w:tc>
          <w:tcPr>
            <w:tcW w:w="660" w:type="dxa"/>
            <w:vAlign w:val="bottom"/>
            <w:tcBorders>
              <w:bottom w:val="single" w:sz="8" w:color="CAEEFB"/>
            </w:tcBorders>
            <w:shd w:val="clear" w:color="auto" w:fill="CAEEFB"/>
          </w:tcPr>
          <w:p>
            <w:pPr>
              <w:spacing w:after="0"/>
              <w:rPr>
                <w:sz w:val="14"/>
                <w:szCs w:val="14"/>
                <w:color w:val="auto"/>
              </w:rPr>
            </w:pPr>
          </w:p>
        </w:tc>
        <w:tc>
          <w:tcPr>
            <w:tcW w:w="120" w:type="dxa"/>
            <w:vAlign w:val="bottom"/>
            <w:tcBorders>
              <w:bottom w:val="single" w:sz="8" w:color="CAEEFB"/>
            </w:tcBorders>
            <w:shd w:val="clear" w:color="auto" w:fill="CAEEFB"/>
          </w:tcPr>
          <w:p>
            <w:pPr>
              <w:spacing w:after="0"/>
              <w:rPr>
                <w:sz w:val="14"/>
                <w:szCs w:val="14"/>
                <w:color w:val="auto"/>
              </w:rPr>
            </w:pPr>
          </w:p>
        </w:tc>
        <w:tc>
          <w:tcPr>
            <w:tcW w:w="660" w:type="dxa"/>
            <w:vAlign w:val="bottom"/>
            <w:tcBorders>
              <w:bottom w:val="single" w:sz="8" w:color="CAEEFB"/>
            </w:tcBorders>
            <w:shd w:val="clear" w:color="auto" w:fill="CAEEFB"/>
          </w:tcPr>
          <w:p>
            <w:pPr>
              <w:spacing w:after="0"/>
              <w:rPr>
                <w:sz w:val="14"/>
                <w:szCs w:val="14"/>
                <w:color w:val="auto"/>
              </w:rPr>
            </w:pPr>
          </w:p>
        </w:tc>
        <w:tc>
          <w:tcPr>
            <w:tcW w:w="120" w:type="dxa"/>
            <w:vAlign w:val="bottom"/>
            <w:tcBorders>
              <w:bottom w:val="single" w:sz="8" w:color="CAEEFB"/>
            </w:tcBorders>
            <w:shd w:val="clear" w:color="auto" w:fill="CAEEFB"/>
          </w:tcPr>
          <w:p>
            <w:pPr>
              <w:spacing w:after="0"/>
              <w:rPr>
                <w:sz w:val="14"/>
                <w:szCs w:val="14"/>
                <w:color w:val="auto"/>
              </w:rPr>
            </w:pPr>
          </w:p>
        </w:tc>
        <w:tc>
          <w:tcPr>
            <w:tcW w:w="20" w:type="dxa"/>
            <w:vAlign w:val="bottom"/>
            <w:tcBorders>
              <w:bottom w:val="single" w:sz="8" w:color="CAEEFB"/>
            </w:tcBorders>
            <w:shd w:val="clear" w:color="auto" w:fill="CAEEFB"/>
          </w:tcPr>
          <w:p>
            <w:pPr>
              <w:spacing w:after="0"/>
              <w:rPr>
                <w:sz w:val="14"/>
                <w:szCs w:val="14"/>
                <w:color w:val="auto"/>
              </w:rPr>
            </w:pPr>
          </w:p>
        </w:tc>
        <w:tc>
          <w:tcPr>
            <w:tcW w:w="100" w:type="dxa"/>
            <w:vAlign w:val="bottom"/>
            <w:tcBorders>
              <w:bottom w:val="single" w:sz="8" w:color="auto"/>
            </w:tcBorders>
            <w:shd w:val="clear" w:color="auto" w:fill="CAEEFB"/>
          </w:tcPr>
          <w:p>
            <w:pPr>
              <w:spacing w:after="0"/>
              <w:rPr>
                <w:sz w:val="14"/>
                <w:szCs w:val="14"/>
                <w:color w:val="auto"/>
              </w:rPr>
            </w:pPr>
          </w:p>
        </w:tc>
        <w:tc>
          <w:tcPr>
            <w:tcW w:w="560" w:type="dxa"/>
            <w:vAlign w:val="bottom"/>
            <w:tcBorders>
              <w:bottom w:val="single" w:sz="8" w:color="auto"/>
            </w:tcBorders>
            <w:shd w:val="clear" w:color="auto" w:fill="CAEEFB"/>
          </w:tcPr>
          <w:p>
            <w:pPr>
              <w:spacing w:after="0"/>
              <w:rPr>
                <w:sz w:val="14"/>
                <w:szCs w:val="14"/>
                <w:color w:val="auto"/>
              </w:rPr>
            </w:pPr>
          </w:p>
        </w:tc>
        <w:tc>
          <w:tcPr>
            <w:tcW w:w="120" w:type="dxa"/>
            <w:vAlign w:val="bottom"/>
            <w:tcBorders>
              <w:bottom w:val="single" w:sz="8" w:color="CAEEFB"/>
            </w:tcBorders>
            <w:shd w:val="clear" w:color="auto" w:fill="CAEEFB"/>
          </w:tcPr>
          <w:p>
            <w:pPr>
              <w:spacing w:after="0"/>
              <w:rPr>
                <w:sz w:val="14"/>
                <w:szCs w:val="14"/>
                <w:color w:val="auto"/>
              </w:rPr>
            </w:pPr>
          </w:p>
        </w:tc>
        <w:tc>
          <w:tcPr>
            <w:tcW w:w="120" w:type="dxa"/>
            <w:vAlign w:val="bottom"/>
            <w:tcBorders>
              <w:bottom w:val="single" w:sz="8" w:color="auto"/>
            </w:tcBorders>
            <w:shd w:val="clear" w:color="auto" w:fill="CAEEFB"/>
          </w:tcPr>
          <w:p>
            <w:pPr>
              <w:spacing w:after="0"/>
              <w:rPr>
                <w:sz w:val="14"/>
                <w:szCs w:val="14"/>
                <w:color w:val="auto"/>
              </w:rPr>
            </w:pPr>
          </w:p>
        </w:tc>
        <w:tc>
          <w:tcPr>
            <w:tcW w:w="660" w:type="dxa"/>
            <w:vAlign w:val="bottom"/>
            <w:tcBorders>
              <w:bottom w:val="single" w:sz="8" w:color="auto"/>
            </w:tcBorders>
            <w:shd w:val="clear" w:color="auto" w:fill="CAEEFB"/>
          </w:tcPr>
          <w:p>
            <w:pPr>
              <w:spacing w:after="0"/>
              <w:rPr>
                <w:sz w:val="14"/>
                <w:szCs w:val="14"/>
                <w:color w:val="auto"/>
              </w:rPr>
            </w:pPr>
          </w:p>
        </w:tc>
        <w:tc>
          <w:tcPr>
            <w:tcW w:w="100" w:type="dxa"/>
            <w:vAlign w:val="bottom"/>
            <w:tcBorders>
              <w:bottom w:val="single" w:sz="8" w:color="CAEEFB"/>
            </w:tcBorders>
            <w:shd w:val="clear" w:color="auto" w:fill="CAEEFB"/>
          </w:tcPr>
          <w:p>
            <w:pPr>
              <w:spacing w:after="0"/>
              <w:rPr>
                <w:sz w:val="14"/>
                <w:szCs w:val="14"/>
                <w:color w:val="auto"/>
              </w:rPr>
            </w:pPr>
          </w:p>
        </w:tc>
        <w:tc>
          <w:tcPr>
            <w:tcW w:w="140" w:type="dxa"/>
            <w:vAlign w:val="bottom"/>
            <w:tcBorders>
              <w:bottom w:val="single" w:sz="8" w:color="auto"/>
            </w:tcBorders>
            <w:shd w:val="clear" w:color="auto" w:fill="CAEEFB"/>
          </w:tcPr>
          <w:p>
            <w:pPr>
              <w:spacing w:after="0"/>
              <w:rPr>
                <w:sz w:val="14"/>
                <w:szCs w:val="14"/>
                <w:color w:val="auto"/>
              </w:rPr>
            </w:pPr>
          </w:p>
        </w:tc>
        <w:tc>
          <w:tcPr>
            <w:tcW w:w="660" w:type="dxa"/>
            <w:vAlign w:val="bottom"/>
            <w:tcBorders>
              <w:bottom w:val="single" w:sz="8" w:color="auto"/>
            </w:tcBorders>
            <w:shd w:val="clear" w:color="auto" w:fill="CAEEFB"/>
          </w:tcPr>
          <w:p>
            <w:pPr>
              <w:spacing w:after="0"/>
              <w:rPr>
                <w:sz w:val="14"/>
                <w:szCs w:val="14"/>
                <w:color w:val="auto"/>
              </w:rPr>
            </w:pPr>
          </w:p>
        </w:tc>
        <w:tc>
          <w:tcPr>
            <w:tcW w:w="100" w:type="dxa"/>
            <w:vAlign w:val="bottom"/>
            <w:tcBorders>
              <w:bottom w:val="single" w:sz="8" w:color="CAEEFB"/>
            </w:tcBorders>
            <w:shd w:val="clear" w:color="auto" w:fill="CAEEFB"/>
          </w:tcPr>
          <w:p>
            <w:pPr>
              <w:spacing w:after="0"/>
              <w:rPr>
                <w:sz w:val="14"/>
                <w:szCs w:val="14"/>
                <w:color w:val="auto"/>
              </w:rPr>
            </w:pPr>
          </w:p>
        </w:tc>
        <w:tc>
          <w:tcPr>
            <w:tcW w:w="760" w:type="dxa"/>
            <w:vAlign w:val="bottom"/>
            <w:tcBorders>
              <w:bottom w:val="single" w:sz="8" w:color="auto"/>
            </w:tcBorders>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343,43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5"/>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328,400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342,015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277.6 %</w:t>
            </w:r>
          </w:p>
        </w:tc>
        <w:tc>
          <w:tcPr>
            <w:tcW w:w="0" w:type="dxa"/>
            <w:vAlign w:val="bottom"/>
          </w:tcPr>
          <w:p>
            <w:pPr>
              <w:spacing w:after="0"/>
              <w:rPr>
                <w:sz w:val="1"/>
                <w:szCs w:val="1"/>
                <w:color w:val="auto"/>
              </w:rPr>
            </w:pPr>
          </w:p>
        </w:tc>
      </w:tr>
      <w:tr>
        <w:trPr>
          <w:trHeight w:val="155"/>
        </w:trPr>
        <w:tc>
          <w:tcPr>
            <w:tcW w:w="254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17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72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88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20" w:type="dxa"/>
            <w:vAlign w:val="bottom"/>
            <w:shd w:val="clear" w:color="auto" w:fill="CAEEFB"/>
          </w:tcPr>
          <w:p>
            <w:pPr>
              <w:spacing w:after="0"/>
              <w:rPr>
                <w:sz w:val="13"/>
                <w:szCs w:val="13"/>
                <w:color w:val="auto"/>
              </w:rPr>
            </w:pPr>
          </w:p>
        </w:tc>
        <w:tc>
          <w:tcPr>
            <w:tcW w:w="100" w:type="dxa"/>
            <w:vAlign w:val="bottom"/>
            <w:tcBorders>
              <w:top w:val="single" w:sz="8" w:color="auto"/>
            </w:tcBorders>
            <w:shd w:val="clear" w:color="auto" w:fill="CAEEFB"/>
          </w:tcPr>
          <w:p>
            <w:pPr>
              <w:spacing w:after="0"/>
              <w:rPr>
                <w:sz w:val="13"/>
                <w:szCs w:val="13"/>
                <w:color w:val="auto"/>
              </w:rPr>
            </w:pPr>
          </w:p>
        </w:tc>
        <w:tc>
          <w:tcPr>
            <w:tcW w:w="560" w:type="dxa"/>
            <w:vAlign w:val="bottom"/>
            <w:tcBorders>
              <w:top w:val="single" w:sz="8" w:color="auto"/>
            </w:tcBorders>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120" w:type="dxa"/>
            <w:vAlign w:val="bottom"/>
            <w:tcBorders>
              <w:top w:val="single" w:sz="8" w:color="auto"/>
            </w:tcBorders>
            <w:shd w:val="clear" w:color="auto" w:fill="CAEEFB"/>
          </w:tcPr>
          <w:p>
            <w:pPr>
              <w:spacing w:after="0"/>
              <w:rPr>
                <w:sz w:val="13"/>
                <w:szCs w:val="13"/>
                <w:color w:val="auto"/>
              </w:rPr>
            </w:pPr>
          </w:p>
        </w:tc>
        <w:tc>
          <w:tcPr>
            <w:tcW w:w="660" w:type="dxa"/>
            <w:vAlign w:val="bottom"/>
            <w:tcBorders>
              <w:top w:val="single" w:sz="8" w:color="auto"/>
            </w:tcBorders>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140" w:type="dxa"/>
            <w:vAlign w:val="bottom"/>
            <w:tcBorders>
              <w:top w:val="single" w:sz="8" w:color="auto"/>
            </w:tcBorders>
            <w:shd w:val="clear" w:color="auto" w:fill="CAEEFB"/>
          </w:tcPr>
          <w:p>
            <w:pPr>
              <w:spacing w:after="0"/>
              <w:rPr>
                <w:sz w:val="13"/>
                <w:szCs w:val="13"/>
                <w:color w:val="auto"/>
              </w:rPr>
            </w:pPr>
          </w:p>
        </w:tc>
        <w:tc>
          <w:tcPr>
            <w:tcW w:w="660" w:type="dxa"/>
            <w:vAlign w:val="bottom"/>
            <w:tcBorders>
              <w:top w:val="single" w:sz="8" w:color="auto"/>
            </w:tcBorders>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760" w:type="dxa"/>
            <w:vAlign w:val="bottom"/>
            <w:tcBorders>
              <w:top w:val="single" w:sz="8" w:color="auto"/>
            </w:tcBorders>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Equivalents (23)</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760" w:type="dxa"/>
            <w:vAlign w:val="bottom"/>
            <w:shd w:val="clear" w:color="auto" w:fill="CAEEFB"/>
          </w:tcPr>
          <w:p>
            <w:pPr>
              <w:spacing w:after="0"/>
              <w:rPr>
                <w:sz w:val="12"/>
                <w:szCs w:val="12"/>
                <w:color w:val="auto"/>
              </w:rPr>
            </w:pPr>
          </w:p>
        </w:tc>
        <w:tc>
          <w:tcPr>
            <w:tcW w:w="840" w:type="dxa"/>
            <w:vAlign w:val="bottom"/>
            <w:gridSpan w:val="2"/>
            <w:shd w:val="clear" w:color="auto" w:fill="CAEEFB"/>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120" w:type="dxa"/>
            <w:vAlign w:val="bottom"/>
            <w:shd w:val="clear" w:color="auto" w:fill="CAEEFB"/>
          </w:tcPr>
          <w:p>
            <w:pPr>
              <w:spacing w:after="0"/>
              <w:rPr>
                <w:sz w:val="12"/>
                <w:szCs w:val="12"/>
                <w:color w:val="auto"/>
              </w:rPr>
            </w:pPr>
          </w:p>
        </w:tc>
        <w:tc>
          <w:tcPr>
            <w:tcW w:w="880" w:type="dxa"/>
            <w:vAlign w:val="bottom"/>
            <w:shd w:val="clear" w:color="auto" w:fill="CAEEFB"/>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2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540" w:type="dxa"/>
            <w:vAlign w:val="bottom"/>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First American Treasury Obligations Fund</w:t>
            </w: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gridSpan w:val="5"/>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74</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74</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74</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73"/>
        </w:trPr>
        <w:tc>
          <w:tcPr>
            <w:tcW w:w="2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Class Z</w:t>
            </w: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gridSpan w:val="5"/>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7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2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540" w:type="dxa"/>
            <w:vAlign w:val="bottom"/>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Morgan Stanley Institutional Liquidity</w:t>
            </w: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Funds -</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tcPr>
          <w:p>
            <w:pPr>
              <w:spacing w:after="0"/>
              <w:rPr>
                <w:sz w:val="12"/>
                <w:szCs w:val="12"/>
                <w:color w:val="auto"/>
              </w:rPr>
            </w:pPr>
          </w:p>
        </w:tc>
        <w:tc>
          <w:tcPr>
            <w:tcW w:w="88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235</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73"/>
        </w:trPr>
        <w:tc>
          <w:tcPr>
            <w:tcW w:w="2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Government Portfolio Advisory Class</w:t>
            </w: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40" w:type="dxa"/>
            <w:vAlign w:val="bottom"/>
            <w:tcBorders>
              <w:bottom w:val="single" w:sz="8" w:color="CAEEFB"/>
            </w:tcBorders>
            <w:shd w:val="clear" w:color="auto" w:fill="CAEEFB"/>
          </w:tcPr>
          <w:p>
            <w:pPr>
              <w:spacing w:after="0"/>
              <w:rPr>
                <w:sz w:val="14"/>
                <w:szCs w:val="14"/>
                <w:color w:val="auto"/>
              </w:rPr>
            </w:pPr>
          </w:p>
        </w:tc>
        <w:tc>
          <w:tcPr>
            <w:tcW w:w="100" w:type="dxa"/>
            <w:vAlign w:val="bottom"/>
            <w:tcBorders>
              <w:bottom w:val="single" w:sz="8" w:color="CAEEFB"/>
            </w:tcBorders>
            <w:shd w:val="clear" w:color="auto" w:fill="CAEEFB"/>
          </w:tcPr>
          <w:p>
            <w:pPr>
              <w:spacing w:after="0"/>
              <w:rPr>
                <w:sz w:val="14"/>
                <w:szCs w:val="14"/>
                <w:color w:val="auto"/>
              </w:rPr>
            </w:pPr>
          </w:p>
        </w:tc>
        <w:tc>
          <w:tcPr>
            <w:tcW w:w="1760" w:type="dxa"/>
            <w:vAlign w:val="bottom"/>
            <w:tcBorders>
              <w:bottom w:val="single" w:sz="8" w:color="CAEEFB"/>
            </w:tcBorders>
            <w:shd w:val="clear" w:color="auto" w:fill="CAEEFB"/>
          </w:tcPr>
          <w:p>
            <w:pPr>
              <w:spacing w:after="0"/>
              <w:rPr>
                <w:sz w:val="14"/>
                <w:szCs w:val="14"/>
                <w:color w:val="auto"/>
              </w:rPr>
            </w:pPr>
          </w:p>
        </w:tc>
        <w:tc>
          <w:tcPr>
            <w:tcW w:w="120" w:type="dxa"/>
            <w:vAlign w:val="bottom"/>
            <w:tcBorders>
              <w:bottom w:val="single" w:sz="8" w:color="CAEEFB"/>
            </w:tcBorders>
            <w:shd w:val="clear" w:color="auto" w:fill="CAEEFB"/>
          </w:tcPr>
          <w:p>
            <w:pPr>
              <w:spacing w:after="0"/>
              <w:rPr>
                <w:sz w:val="14"/>
                <w:szCs w:val="14"/>
                <w:color w:val="auto"/>
              </w:rPr>
            </w:pPr>
          </w:p>
        </w:tc>
        <w:tc>
          <w:tcPr>
            <w:tcW w:w="720" w:type="dxa"/>
            <w:vAlign w:val="bottom"/>
            <w:tcBorders>
              <w:bottom w:val="single" w:sz="8" w:color="CAEEFB"/>
            </w:tcBorders>
            <w:shd w:val="clear" w:color="auto" w:fill="CAEEFB"/>
          </w:tcPr>
          <w:p>
            <w:pPr>
              <w:spacing w:after="0"/>
              <w:rPr>
                <w:sz w:val="14"/>
                <w:szCs w:val="14"/>
                <w:color w:val="auto"/>
              </w:rPr>
            </w:pPr>
          </w:p>
        </w:tc>
        <w:tc>
          <w:tcPr>
            <w:tcW w:w="120" w:type="dxa"/>
            <w:vAlign w:val="bottom"/>
            <w:tcBorders>
              <w:bottom w:val="single" w:sz="8" w:color="CAEEFB"/>
            </w:tcBorders>
            <w:shd w:val="clear" w:color="auto" w:fill="CAEEFB"/>
          </w:tcPr>
          <w:p>
            <w:pPr>
              <w:spacing w:after="0"/>
              <w:rPr>
                <w:sz w:val="14"/>
                <w:szCs w:val="14"/>
                <w:color w:val="auto"/>
              </w:rPr>
            </w:pPr>
          </w:p>
        </w:tc>
        <w:tc>
          <w:tcPr>
            <w:tcW w:w="880" w:type="dxa"/>
            <w:vAlign w:val="bottom"/>
            <w:tcBorders>
              <w:bottom w:val="single" w:sz="8" w:color="CAEEFB"/>
            </w:tcBorders>
            <w:shd w:val="clear" w:color="auto" w:fill="CAEEFB"/>
          </w:tcPr>
          <w:p>
            <w:pPr>
              <w:spacing w:after="0"/>
              <w:rPr>
                <w:sz w:val="14"/>
                <w:szCs w:val="14"/>
                <w:color w:val="auto"/>
              </w:rPr>
            </w:pPr>
          </w:p>
        </w:tc>
        <w:tc>
          <w:tcPr>
            <w:tcW w:w="120" w:type="dxa"/>
            <w:vAlign w:val="bottom"/>
            <w:tcBorders>
              <w:bottom w:val="single" w:sz="8" w:color="CAEEFB"/>
            </w:tcBorders>
            <w:shd w:val="clear" w:color="auto" w:fill="CAEEFB"/>
          </w:tcPr>
          <w:p>
            <w:pPr>
              <w:spacing w:after="0"/>
              <w:rPr>
                <w:sz w:val="14"/>
                <w:szCs w:val="14"/>
                <w:color w:val="auto"/>
              </w:rPr>
            </w:pPr>
          </w:p>
        </w:tc>
        <w:tc>
          <w:tcPr>
            <w:tcW w:w="660" w:type="dxa"/>
            <w:vAlign w:val="bottom"/>
            <w:tcBorders>
              <w:bottom w:val="single" w:sz="8" w:color="CAEEFB"/>
            </w:tcBorders>
            <w:shd w:val="clear" w:color="auto" w:fill="CAEEFB"/>
          </w:tcPr>
          <w:p>
            <w:pPr>
              <w:spacing w:after="0"/>
              <w:rPr>
                <w:sz w:val="14"/>
                <w:szCs w:val="14"/>
                <w:color w:val="auto"/>
              </w:rPr>
            </w:pPr>
          </w:p>
        </w:tc>
        <w:tc>
          <w:tcPr>
            <w:tcW w:w="900" w:type="dxa"/>
            <w:vAlign w:val="bottom"/>
            <w:tcBorders>
              <w:bottom w:val="single" w:sz="8" w:color="CAEEFB"/>
            </w:tcBorders>
            <w:gridSpan w:val="3"/>
            <w:shd w:val="clear" w:color="auto" w:fill="CAEEFB"/>
          </w:tcPr>
          <w:p>
            <w:pPr>
              <w:spacing w:after="0"/>
              <w:rPr>
                <w:sz w:val="14"/>
                <w:szCs w:val="14"/>
                <w:color w:val="auto"/>
              </w:rPr>
            </w:pPr>
          </w:p>
        </w:tc>
        <w:tc>
          <w:tcPr>
            <w:tcW w:w="20" w:type="dxa"/>
            <w:vAlign w:val="bottom"/>
            <w:tcBorders>
              <w:bottom w:val="single" w:sz="8" w:color="CAEEFB"/>
            </w:tcBorders>
            <w:shd w:val="clear" w:color="auto" w:fill="CAEEFB"/>
          </w:tcPr>
          <w:p>
            <w:pPr>
              <w:spacing w:after="0"/>
              <w:rPr>
                <w:sz w:val="14"/>
                <w:szCs w:val="14"/>
                <w:color w:val="auto"/>
              </w:rPr>
            </w:pPr>
          </w:p>
        </w:tc>
        <w:tc>
          <w:tcPr>
            <w:tcW w:w="100" w:type="dxa"/>
            <w:vAlign w:val="bottom"/>
            <w:tcBorders>
              <w:bottom w:val="single" w:sz="8" w:color="auto"/>
            </w:tcBorders>
            <w:shd w:val="clear" w:color="auto" w:fill="CAEEFB"/>
          </w:tcPr>
          <w:p>
            <w:pPr>
              <w:spacing w:after="0"/>
              <w:rPr>
                <w:sz w:val="14"/>
                <w:szCs w:val="14"/>
                <w:color w:val="auto"/>
              </w:rPr>
            </w:pPr>
          </w:p>
        </w:tc>
        <w:tc>
          <w:tcPr>
            <w:tcW w:w="560" w:type="dxa"/>
            <w:vAlign w:val="bottom"/>
            <w:tcBorders>
              <w:bottom w:val="single" w:sz="8" w:color="auto"/>
            </w:tcBorders>
            <w:shd w:val="clear" w:color="auto" w:fill="CAEEFB"/>
          </w:tcPr>
          <w:p>
            <w:pPr>
              <w:spacing w:after="0"/>
              <w:rPr>
                <w:sz w:val="14"/>
                <w:szCs w:val="14"/>
                <w:color w:val="auto"/>
              </w:rPr>
            </w:pPr>
          </w:p>
        </w:tc>
        <w:tc>
          <w:tcPr>
            <w:tcW w:w="120" w:type="dxa"/>
            <w:vAlign w:val="bottom"/>
            <w:tcBorders>
              <w:bottom w:val="single" w:sz="8" w:color="CAEEFB"/>
            </w:tcBorders>
            <w:shd w:val="clear" w:color="auto" w:fill="CAEEFB"/>
          </w:tcPr>
          <w:p>
            <w:pPr>
              <w:spacing w:after="0"/>
              <w:rPr>
                <w:sz w:val="14"/>
                <w:szCs w:val="14"/>
                <w:color w:val="auto"/>
              </w:rPr>
            </w:pPr>
          </w:p>
        </w:tc>
        <w:tc>
          <w:tcPr>
            <w:tcW w:w="120" w:type="dxa"/>
            <w:vAlign w:val="bottom"/>
            <w:tcBorders>
              <w:bottom w:val="single" w:sz="8" w:color="auto"/>
            </w:tcBorders>
            <w:shd w:val="clear" w:color="auto" w:fill="CAEEFB"/>
          </w:tcPr>
          <w:p>
            <w:pPr>
              <w:spacing w:after="0"/>
              <w:rPr>
                <w:sz w:val="14"/>
                <w:szCs w:val="14"/>
                <w:color w:val="auto"/>
              </w:rPr>
            </w:pPr>
          </w:p>
        </w:tc>
        <w:tc>
          <w:tcPr>
            <w:tcW w:w="660" w:type="dxa"/>
            <w:vAlign w:val="bottom"/>
            <w:tcBorders>
              <w:bottom w:val="single" w:sz="8" w:color="auto"/>
            </w:tcBorders>
            <w:shd w:val="clear" w:color="auto" w:fill="CAEEFB"/>
          </w:tcPr>
          <w:p>
            <w:pPr>
              <w:spacing w:after="0"/>
              <w:rPr>
                <w:sz w:val="14"/>
                <w:szCs w:val="14"/>
                <w:color w:val="auto"/>
              </w:rPr>
            </w:pPr>
          </w:p>
        </w:tc>
        <w:tc>
          <w:tcPr>
            <w:tcW w:w="100" w:type="dxa"/>
            <w:vAlign w:val="bottom"/>
            <w:tcBorders>
              <w:bottom w:val="single" w:sz="8" w:color="CAEEFB"/>
            </w:tcBorders>
            <w:shd w:val="clear" w:color="auto" w:fill="CAEEFB"/>
          </w:tcPr>
          <w:p>
            <w:pPr>
              <w:spacing w:after="0"/>
              <w:rPr>
                <w:sz w:val="14"/>
                <w:szCs w:val="14"/>
                <w:color w:val="auto"/>
              </w:rPr>
            </w:pPr>
          </w:p>
        </w:tc>
        <w:tc>
          <w:tcPr>
            <w:tcW w:w="140" w:type="dxa"/>
            <w:vAlign w:val="bottom"/>
            <w:tcBorders>
              <w:bottom w:val="single" w:sz="8" w:color="auto"/>
            </w:tcBorders>
            <w:shd w:val="clear" w:color="auto" w:fill="CAEEFB"/>
          </w:tcPr>
          <w:p>
            <w:pPr>
              <w:spacing w:after="0"/>
              <w:rPr>
                <w:sz w:val="14"/>
                <w:szCs w:val="14"/>
                <w:color w:val="auto"/>
              </w:rPr>
            </w:pPr>
          </w:p>
        </w:tc>
        <w:tc>
          <w:tcPr>
            <w:tcW w:w="660" w:type="dxa"/>
            <w:vAlign w:val="bottom"/>
            <w:tcBorders>
              <w:bottom w:val="single" w:sz="8" w:color="auto"/>
            </w:tcBorders>
            <w:shd w:val="clear" w:color="auto" w:fill="CAEEFB"/>
          </w:tcPr>
          <w:p>
            <w:pPr>
              <w:spacing w:after="0"/>
              <w:rPr>
                <w:sz w:val="14"/>
                <w:szCs w:val="14"/>
                <w:color w:val="auto"/>
              </w:rPr>
            </w:pPr>
          </w:p>
        </w:tc>
        <w:tc>
          <w:tcPr>
            <w:tcW w:w="100" w:type="dxa"/>
            <w:vAlign w:val="bottom"/>
            <w:tcBorders>
              <w:bottom w:val="single" w:sz="8" w:color="CAEEFB"/>
            </w:tcBorders>
            <w:shd w:val="clear" w:color="auto" w:fill="CAEEFB"/>
          </w:tcPr>
          <w:p>
            <w:pPr>
              <w:spacing w:after="0"/>
              <w:rPr>
                <w:sz w:val="14"/>
                <w:szCs w:val="14"/>
                <w:color w:val="auto"/>
              </w:rPr>
            </w:pPr>
          </w:p>
        </w:tc>
        <w:tc>
          <w:tcPr>
            <w:tcW w:w="760" w:type="dxa"/>
            <w:vAlign w:val="bottom"/>
            <w:tcBorders>
              <w:bottom w:val="single" w:sz="8" w:color="auto"/>
            </w:tcBorders>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Cash Equivalents</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5"/>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155"/>
        </w:trPr>
        <w:tc>
          <w:tcPr>
            <w:tcW w:w="2540" w:type="dxa"/>
            <w:vAlign w:val="bottom"/>
            <w:tcBorders>
              <w:bottom w:val="single" w:sz="8" w:color="CAEEFB"/>
            </w:tcBorders>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1760" w:type="dxa"/>
            <w:vAlign w:val="bottom"/>
            <w:tcBorders>
              <w:bottom w:val="single" w:sz="8" w:color="CAEEFB"/>
            </w:tcBorders>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720" w:type="dxa"/>
            <w:vAlign w:val="bottom"/>
            <w:tcBorders>
              <w:bottom w:val="single" w:sz="8" w:color="CAEEFB"/>
            </w:tcBorders>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880" w:type="dxa"/>
            <w:vAlign w:val="bottom"/>
            <w:tcBorders>
              <w:bottom w:val="single" w:sz="8" w:color="CAEEFB"/>
            </w:tcBorders>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660" w:type="dxa"/>
            <w:vAlign w:val="bottom"/>
            <w:tcBorders>
              <w:bottom w:val="single" w:sz="8" w:color="CAEEFB"/>
            </w:tcBorders>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660" w:type="dxa"/>
            <w:vAlign w:val="bottom"/>
            <w:tcBorders>
              <w:bottom w:val="single" w:sz="8" w:color="CAEEFB"/>
            </w:tcBorders>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20" w:type="dxa"/>
            <w:vAlign w:val="bottom"/>
            <w:tcBorders>
              <w:bottom w:val="single" w:sz="8" w:color="CAEEFB"/>
            </w:tcBorders>
            <w:shd w:val="clear" w:color="auto" w:fill="CAEEFB"/>
          </w:tcPr>
          <w:p>
            <w:pPr>
              <w:spacing w:after="0"/>
              <w:rPr>
                <w:sz w:val="13"/>
                <w:szCs w:val="13"/>
                <w:color w:val="auto"/>
              </w:rPr>
            </w:pPr>
          </w:p>
        </w:tc>
        <w:tc>
          <w:tcPr>
            <w:tcW w:w="100" w:type="dxa"/>
            <w:vAlign w:val="bottom"/>
            <w:tcBorders>
              <w:top w:val="single" w:sz="8" w:color="auto"/>
              <w:bottom w:val="single" w:sz="8" w:color="auto"/>
            </w:tcBorders>
            <w:shd w:val="clear" w:color="auto" w:fill="CAEEFB"/>
          </w:tcPr>
          <w:p>
            <w:pPr>
              <w:spacing w:after="0"/>
              <w:rPr>
                <w:sz w:val="13"/>
                <w:szCs w:val="13"/>
                <w:color w:val="auto"/>
              </w:rPr>
            </w:pPr>
          </w:p>
        </w:tc>
        <w:tc>
          <w:tcPr>
            <w:tcW w:w="560" w:type="dxa"/>
            <w:vAlign w:val="bottom"/>
            <w:tcBorders>
              <w:top w:val="single" w:sz="8" w:color="auto"/>
              <w:bottom w:val="single" w:sz="8" w:color="auto"/>
            </w:tcBorders>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120" w:type="dxa"/>
            <w:vAlign w:val="bottom"/>
            <w:tcBorders>
              <w:top w:val="single" w:sz="8" w:color="auto"/>
              <w:bottom w:val="single" w:sz="8" w:color="auto"/>
            </w:tcBorders>
            <w:shd w:val="clear" w:color="auto" w:fill="CAEEFB"/>
          </w:tcPr>
          <w:p>
            <w:pPr>
              <w:spacing w:after="0"/>
              <w:rPr>
                <w:sz w:val="13"/>
                <w:szCs w:val="13"/>
                <w:color w:val="auto"/>
              </w:rPr>
            </w:pPr>
          </w:p>
        </w:tc>
        <w:tc>
          <w:tcPr>
            <w:tcW w:w="660" w:type="dxa"/>
            <w:vAlign w:val="bottom"/>
            <w:tcBorders>
              <w:top w:val="single" w:sz="8" w:color="auto"/>
              <w:bottom w:val="single" w:sz="8" w:color="auto"/>
            </w:tcBorders>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140" w:type="dxa"/>
            <w:vAlign w:val="bottom"/>
            <w:tcBorders>
              <w:top w:val="single" w:sz="8" w:color="auto"/>
              <w:bottom w:val="single" w:sz="8" w:color="auto"/>
            </w:tcBorders>
            <w:shd w:val="clear" w:color="auto" w:fill="CAEEFB"/>
          </w:tcPr>
          <w:p>
            <w:pPr>
              <w:spacing w:after="0"/>
              <w:rPr>
                <w:sz w:val="13"/>
                <w:szCs w:val="13"/>
                <w:color w:val="auto"/>
              </w:rPr>
            </w:pPr>
          </w:p>
        </w:tc>
        <w:tc>
          <w:tcPr>
            <w:tcW w:w="660" w:type="dxa"/>
            <w:vAlign w:val="bottom"/>
            <w:tcBorders>
              <w:top w:val="single" w:sz="8" w:color="auto"/>
              <w:bottom w:val="single" w:sz="8" w:color="auto"/>
            </w:tcBorders>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760" w:type="dxa"/>
            <w:vAlign w:val="bottom"/>
            <w:tcBorders>
              <w:top w:val="single" w:sz="8" w:color="auto"/>
              <w:bottom w:val="single" w:sz="8" w:color="auto"/>
            </w:tcBorders>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343,74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Investments and Cash Equivalents</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gridSpan w:val="3"/>
          </w:tcPr>
          <w:p>
            <w:pPr>
              <w:spacing w:after="0"/>
              <w:rPr>
                <w:sz w:val="14"/>
                <w:szCs w:val="14"/>
                <w:color w:val="auto"/>
              </w:rPr>
            </w:pPr>
          </w:p>
        </w:tc>
        <w:tc>
          <w:tcPr>
            <w:tcW w:w="120" w:type="dxa"/>
            <w:vAlign w:val="bottom"/>
            <w:tcBorders>
              <w:bottom w:val="single" w:sz="8" w:color="auto"/>
            </w:tcBorders>
            <w:gridSpan w:val="2"/>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48"/>
              <w:spacing w:after="0" w:line="151"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ind w:right="48"/>
              <w:spacing w:after="0" w:line="151" w:lineRule="exact"/>
              <w:rPr>
                <w:sz w:val="20"/>
                <w:szCs w:val="20"/>
                <w:color w:val="auto"/>
              </w:rPr>
            </w:pPr>
            <w:r>
              <w:rPr>
                <w:rFonts w:ascii="Times New Roman" w:cs="Times New Roman" w:eastAsia="Times New Roman" w:hAnsi="Times New Roman"/>
                <w:sz w:val="14"/>
                <w:szCs w:val="14"/>
                <w:color w:val="auto"/>
              </w:rPr>
              <w:t>328,709</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48"/>
              <w:spacing w:after="0" w:line="151" w:lineRule="exact"/>
              <w:rPr>
                <w:sz w:val="20"/>
                <w:szCs w:val="20"/>
                <w:color w:val="auto"/>
              </w:rPr>
            </w:pPr>
            <w:r>
              <w:rPr>
                <w:rFonts w:ascii="Times New Roman" w:cs="Times New Roman" w:eastAsia="Times New Roman" w:hAnsi="Times New Roman"/>
                <w:sz w:val="14"/>
                <w:szCs w:val="14"/>
                <w:color w:val="auto"/>
              </w:rPr>
              <w:t>342,324</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277.9 %</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6030595</wp:posOffset>
            </wp:positionH>
            <wp:positionV relativeFrom="paragraph">
              <wp:posOffset>-3917315</wp:posOffset>
            </wp:positionV>
            <wp:extent cx="68580" cy="1117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-3917315</wp:posOffset>
            </wp:positionV>
            <wp:extent cx="68580" cy="1117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5464810</wp:posOffset>
            </wp:positionH>
            <wp:positionV relativeFrom="paragraph">
              <wp:posOffset>-1885315</wp:posOffset>
            </wp:positionV>
            <wp:extent cx="68580" cy="1111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-1885315</wp:posOffset>
            </wp:positionV>
            <wp:extent cx="68580" cy="1111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-1885315</wp:posOffset>
            </wp:positionV>
            <wp:extent cx="68580" cy="1111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5464810</wp:posOffset>
            </wp:positionH>
            <wp:positionV relativeFrom="paragraph">
              <wp:posOffset>-1671320</wp:posOffset>
            </wp:positionV>
            <wp:extent cx="68580" cy="2146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-1671320</wp:posOffset>
            </wp:positionV>
            <wp:extent cx="68580" cy="2146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-1671320</wp:posOffset>
            </wp:positionV>
            <wp:extent cx="68580" cy="2146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5464810</wp:posOffset>
            </wp:positionH>
            <wp:positionV relativeFrom="paragraph">
              <wp:posOffset>-462280</wp:posOffset>
            </wp:positionV>
            <wp:extent cx="68580"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-462280</wp:posOffset>
            </wp:positionV>
            <wp:extent cx="68580"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-462280</wp:posOffset>
            </wp:positionV>
            <wp:extent cx="68580"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5464810</wp:posOffset>
            </wp:positionH>
            <wp:positionV relativeFrom="paragraph">
              <wp:posOffset>-231140</wp:posOffset>
            </wp:positionV>
            <wp:extent cx="68580" cy="2317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23177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-231140</wp:posOffset>
            </wp:positionV>
            <wp:extent cx="68580" cy="2317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231775"/>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-231140</wp:posOffset>
            </wp:positionV>
            <wp:extent cx="68580" cy="2317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23177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321945</wp:posOffset>
            </wp:positionV>
            <wp:extent cx="71831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504" w:right="318" w:bottom="1440" w:gutter="0" w:footer="0" w:header="0"/>
        </w:sectPr>
      </w:pPr>
    </w:p>
    <w:bookmarkStart w:id="25" w:name="page26"/>
    <w:bookmarkEnd w:id="25"/>
    <w:p>
      <w:pPr>
        <w:ind w:left="7"/>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(continued)</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02" w:lineRule="exact"/>
        <w:rPr>
          <w:sz w:val="20"/>
          <w:szCs w:val="20"/>
          <w:color w:val="auto"/>
        </w:rPr>
      </w:pPr>
    </w:p>
    <w:p>
      <w:pPr>
        <w:ind w:left="367" w:right="180" w:hanging="367"/>
        <w:spacing w:after="0" w:line="233" w:lineRule="auto"/>
        <w:tabs>
          <w:tab w:leader="none" w:pos="36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ownership may be held in shares or units of companies affiliated with the portfolio company. The Company’s investments are generally classified as “restricted securities” as such term is defined under Regulation S-X Rule 6-03(f) or Securities Act Rule 144.</w:t>
      </w:r>
    </w:p>
    <w:p>
      <w:pPr>
        <w:ind w:left="367" w:right="60" w:hanging="367"/>
        <w:spacing w:after="0"/>
        <w:tabs>
          <w:tab w:leader="none" w:pos="36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the Company held loans and mezzanine debt investments with an aggregate fair value of $168,018 that bore interest at a variable rate indexed to SOFR or Prime, and reset monthly, quarterly, or semi-annually. For each variable-rate investment, the Company has provided the spread over the reference rate and current interest rate in effect as of December 31, 2025. Unless otherwise noted, all investments with a stated PIK rate require interest payments with the issuance of additional securities as payment of the entire PIK provision.</w:t>
      </w:r>
    </w:p>
    <w:p>
      <w:pPr>
        <w:spacing w:after="0" w:line="111" w:lineRule="exact"/>
        <w:rPr>
          <w:rFonts w:ascii="Times New Roman" w:cs="Times New Roman" w:eastAsia="Times New Roman" w:hAnsi="Times New Roman"/>
          <w:sz w:val="14"/>
          <w:szCs w:val="14"/>
          <w:color w:val="auto"/>
        </w:rPr>
      </w:pPr>
    </w:p>
    <w:p>
      <w:pPr>
        <w:ind w:left="367" w:right="140" w:hanging="367"/>
        <w:spacing w:after="0" w:line="221" w:lineRule="auto"/>
        <w:tabs>
          <w:tab w:leader="none" w:pos="36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Unless otherwise noted in footnote 14, fair value was determined using significant unobservable inputs for all of the Company’s investments and are considered Level 3 under GAAP. See </w:t>
      </w:r>
      <w:r>
        <w:rPr>
          <w:rFonts w:ascii="Times New Roman" w:cs="Times New Roman" w:eastAsia="Times New Roman" w:hAnsi="Times New Roman"/>
          <w:sz w:val="14"/>
          <w:szCs w:val="14"/>
          <w:b w:val="1"/>
          <w:bCs w:val="1"/>
          <w:color w:val="auto"/>
        </w:rPr>
        <w:t xml:space="preserve">Note 5 </w:t>
      </w:r>
      <w:r>
        <w:rPr>
          <w:rFonts w:ascii="Times New Roman" w:cs="Times New Roman" w:eastAsia="Times New Roman" w:hAnsi="Times New Roman"/>
          <w:sz w:val="14"/>
          <w:szCs w:val="14"/>
          <w:color w:val="auto"/>
        </w:rPr>
        <w:t>for further details.</w:t>
      </w:r>
    </w:p>
    <w:p>
      <w:pPr>
        <w:ind w:left="367" w:hanging="367"/>
        <w:spacing w:after="0" w:line="221" w:lineRule="auto"/>
        <w:tabs>
          <w:tab w:leader="none" w:pos="36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the effective accretable yield was estimated to be 0%, as the aggregate amount of projected distributions, including projected distributions related to liquidation of the underlying portfolio upon the security's anticipated optional redemption, was less than current amortized cost. Projected distributions are periodically monitored and re-evaluated. All actual distributions were recognized as reductions to amortized cost until such time, if and when occurring, a future aggregate amount of then-projected distributions exceeds the security's then-current amortized cost.</w:t>
      </w:r>
    </w:p>
    <w:p>
      <w:pPr>
        <w:spacing w:after="0" w:line="1" w:lineRule="exact"/>
        <w:rPr>
          <w:rFonts w:ascii="Times New Roman" w:cs="Times New Roman" w:eastAsia="Times New Roman" w:hAnsi="Times New Roman"/>
          <w:sz w:val="14"/>
          <w:szCs w:val="14"/>
          <w:color w:val="auto"/>
        </w:rPr>
      </w:pPr>
    </w:p>
    <w:p>
      <w:pPr>
        <w:ind w:left="367" w:hanging="367"/>
        <w:spacing w:after="0" w:line="221" w:lineRule="auto"/>
        <w:tabs>
          <w:tab w:leader="none" w:pos="36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unfunded commitments. The Company considers undrawn amounts in the determination of fair value on revolving lines of credit and delayed draw term loans. See </w:t>
      </w:r>
      <w:r>
        <w:rPr>
          <w:rFonts w:ascii="Times New Roman" w:cs="Times New Roman" w:eastAsia="Times New Roman" w:hAnsi="Times New Roman"/>
          <w:sz w:val="14"/>
          <w:szCs w:val="14"/>
          <w:b w:val="1"/>
          <w:bCs w:val="1"/>
          <w:color w:val="auto"/>
        </w:rPr>
        <w:t>Note 6</w:t>
      </w:r>
      <w:r>
        <w:rPr>
          <w:rFonts w:ascii="Times New Roman" w:cs="Times New Roman" w:eastAsia="Times New Roman" w:hAnsi="Times New Roman"/>
          <w:sz w:val="14"/>
          <w:szCs w:val="14"/>
          <w:color w:val="auto"/>
        </w:rPr>
        <w:t>.</w:t>
      </w:r>
    </w:p>
    <w:p>
      <w:pPr>
        <w:ind w:left="367" w:hanging="367"/>
        <w:spacing w:after="0" w:line="221" w:lineRule="auto"/>
        <w:tabs>
          <w:tab w:leader="none" w:pos="36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Investment was on non-accrual status as of December 31, 2025, meaning the Company suspended recognition of all or a portion of income on the investment. See </w:t>
      </w:r>
      <w:r>
        <w:rPr>
          <w:rFonts w:ascii="Times New Roman" w:cs="Times New Roman" w:eastAsia="Times New Roman" w:hAnsi="Times New Roman"/>
          <w:sz w:val="14"/>
          <w:szCs w:val="14"/>
          <w:b w:val="1"/>
          <w:bCs w:val="1"/>
          <w:color w:val="auto"/>
        </w:rPr>
        <w:t>Note 4</w:t>
      </w:r>
      <w:r>
        <w:rPr>
          <w:rFonts w:ascii="Times New Roman" w:cs="Times New Roman" w:eastAsia="Times New Roman" w:hAnsi="Times New Roman"/>
          <w:sz w:val="14"/>
          <w:szCs w:val="14"/>
          <w:color w:val="auto"/>
        </w:rPr>
        <w:t xml:space="preserve"> for further details.</w:t>
      </w:r>
    </w:p>
    <w:p>
      <w:pPr>
        <w:ind w:left="367" w:hanging="367"/>
        <w:spacing w:after="0" w:line="221" w:lineRule="auto"/>
        <w:tabs>
          <w:tab w:leader="none" w:pos="36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participation rights issued by unaffiliated third party fully covered with underlying positions in the portfolio company.</w:t>
      </w:r>
    </w:p>
    <w:p>
      <w:pPr>
        <w:ind w:left="367" w:right="320" w:hanging="367"/>
        <w:spacing w:after="0" w:line="221" w:lineRule="auto"/>
        <w:tabs>
          <w:tab w:leader="none" w:pos="36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Non-qualifying assets under Section 55(a) of the 1940 Act. Qualifying assets as defined in Section 55 of the 1940 Act must represent at least 70% of the Company's assets immediately following the acquisition of any additional non-qualifying assets. As of December 31, 2025, approximately 81% of the Company's assets were qualifying assets.</w:t>
      </w:r>
    </w:p>
    <w:p>
      <w:pPr>
        <w:ind w:left="367" w:right="200" w:hanging="367"/>
        <w:spacing w:after="0" w:line="221" w:lineRule="auto"/>
        <w:tabs>
          <w:tab w:leader="none" w:pos="36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disclosed on subordinated note investments is the estimated effective yield, generally established at purchase, and reevaluated upon the receipt of the initial distribution and each subsequent quarter thereafter. The estimated effective yield is based upon projected amounts and timing of future distributions and the projected amounts and timing of terminal principal payments at the time of estimation. The estimated effective yield and investment cost may ultimately not be realized. Projected cash flows, including the amounts and timing of terminal principal payments, which generally are projected to occur prior to the contractual maturity date, were utilized in deriving the effective yield of the investments.</w:t>
      </w:r>
    </w:p>
    <w:p>
      <w:pPr>
        <w:spacing w:after="0" w:line="1" w:lineRule="exact"/>
        <w:rPr>
          <w:rFonts w:ascii="Times New Roman" w:cs="Times New Roman" w:eastAsia="Times New Roman" w:hAnsi="Times New Roman"/>
          <w:sz w:val="14"/>
          <w:szCs w:val="14"/>
          <w:color w:val="auto"/>
        </w:rPr>
      </w:pPr>
    </w:p>
    <w:p>
      <w:pPr>
        <w:ind w:left="367" w:hanging="367"/>
        <w:spacing w:after="0" w:line="221" w:lineRule="auto"/>
        <w:tabs>
          <w:tab w:leader="none" w:pos="36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Non-income producing.</w:t>
      </w:r>
    </w:p>
    <w:p>
      <w:pPr>
        <w:ind w:left="367" w:right="60" w:hanging="367"/>
        <w:spacing w:after="0" w:line="233" w:lineRule="auto"/>
        <w:tabs>
          <w:tab w:leader="none" w:pos="36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on these investments contains a PIK provision, whereby the issuer has the option to make interest payments in cash or with the issuance of additional securities as payment of the entire PIK provision. The interest rate in the schedule represents the current interest rate in effect for these investments. The following table provides additional details on these PIK investments, including the maximum annual PIK interest rate allowed as of December 31, 2025:</w:t>
      </w:r>
    </w:p>
    <w:tbl>
      <w:tblPr>
        <w:tblLayout w:type="fixed"/>
        <w:tblInd w:w="7" w:type="dxa"/>
        <w:tblCellMar>
          <w:top w:w="0" w:type="dxa"/>
          <w:left w:w="0" w:type="dxa"/>
          <w:bottom w:w="0" w:type="dxa"/>
          <w:right w:w="0" w:type="dxa"/>
        </w:tblCellMar>
      </w:tblPr>
      <w:tr>
        <w:trPr>
          <w:trHeight w:val="148"/>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00" w:type="dxa"/>
            <w:vAlign w:val="bottom"/>
          </w:tcPr>
          <w:p>
            <w:pPr>
              <w:spacing w:after="0"/>
              <w:rPr>
                <w:sz w:val="12"/>
                <w:szCs w:val="12"/>
                <w:color w:val="auto"/>
              </w:rPr>
            </w:pPr>
          </w:p>
        </w:tc>
        <w:tc>
          <w:tcPr>
            <w:tcW w:w="18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20" w:type="dxa"/>
            <w:vAlign w:val="bottom"/>
          </w:tcPr>
          <w:p>
            <w:pPr>
              <w:spacing w:after="0"/>
              <w:rPr>
                <w:sz w:val="12"/>
                <w:szCs w:val="12"/>
                <w:color w:val="auto"/>
              </w:rPr>
            </w:pPr>
          </w:p>
        </w:tc>
        <w:tc>
          <w:tcPr>
            <w:tcW w:w="14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Maximum PIK</w:t>
            </w:r>
          </w:p>
        </w:tc>
        <w:tc>
          <w:tcPr>
            <w:tcW w:w="100" w:type="dxa"/>
            <w:vAlign w:val="bottom"/>
          </w:tcPr>
          <w:p>
            <w:pPr>
              <w:spacing w:after="0"/>
              <w:rPr>
                <w:sz w:val="12"/>
                <w:szCs w:val="12"/>
                <w:color w:val="auto"/>
              </w:rPr>
            </w:pPr>
          </w:p>
        </w:tc>
        <w:tc>
          <w:tcPr>
            <w:tcW w:w="14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Range of PIK</w:t>
            </w:r>
          </w:p>
        </w:tc>
        <w:tc>
          <w:tcPr>
            <w:tcW w:w="100" w:type="dxa"/>
            <w:vAlign w:val="bottom"/>
          </w:tcPr>
          <w:p>
            <w:pPr>
              <w:spacing w:after="0"/>
              <w:rPr>
                <w:sz w:val="12"/>
                <w:szCs w:val="12"/>
                <w:color w:val="auto"/>
              </w:rPr>
            </w:pPr>
          </w:p>
        </w:tc>
        <w:tc>
          <w:tcPr>
            <w:tcW w:w="14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Range of Cash</w:t>
            </w:r>
          </w:p>
        </w:tc>
        <w:tc>
          <w:tcPr>
            <w:tcW w:w="0" w:type="dxa"/>
            <w:vAlign w:val="bottom"/>
          </w:tcPr>
          <w:p>
            <w:pPr>
              <w:spacing w:after="0"/>
              <w:rPr>
                <w:sz w:val="1"/>
                <w:szCs w:val="1"/>
                <w:color w:val="auto"/>
              </w:rPr>
            </w:pPr>
          </w:p>
        </w:tc>
      </w:tr>
      <w:tr>
        <w:trPr>
          <w:trHeight w:val="173"/>
        </w:trPr>
        <w:tc>
          <w:tcPr>
            <w:tcW w:w="4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 Allowed</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55"/>
        </w:trPr>
        <w:tc>
          <w:tcPr>
            <w:tcW w:w="466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Avison Young Inc.</w:t>
            </w:r>
          </w:p>
        </w:tc>
        <w:tc>
          <w:tcPr>
            <w:tcW w:w="10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color w:val="auto"/>
              </w:rPr>
              <w:t>8.50%</w:t>
            </w:r>
          </w:p>
        </w:tc>
        <w:tc>
          <w:tcPr>
            <w:tcW w:w="10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color w:val="auto"/>
              </w:rPr>
              <w:t>0% to 8.50%</w:t>
            </w:r>
          </w:p>
        </w:tc>
        <w:tc>
          <w:tcPr>
            <w:tcW w:w="100" w:type="dxa"/>
            <w:vAlign w:val="bottom"/>
            <w:shd w:val="clear" w:color="auto" w:fill="CFF0FC"/>
          </w:tcPr>
          <w:p>
            <w:pPr>
              <w:spacing w:after="0"/>
              <w:rPr>
                <w:sz w:val="13"/>
                <w:szCs w:val="13"/>
                <w:color w:val="auto"/>
              </w:rPr>
            </w:pPr>
          </w:p>
        </w:tc>
        <w:tc>
          <w:tcPr>
            <w:tcW w:w="1460" w:type="dxa"/>
            <w:vAlign w:val="bottom"/>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color w:val="auto"/>
              </w:rPr>
              <w:t>3.70% to 12.20%</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Avison Young Inc.</w:t>
            </w:r>
          </w:p>
        </w:tc>
        <w:tc>
          <w:tcPr>
            <w:tcW w:w="10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5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 to 5.85%</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5.20% to 11.05%</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Avison Young Inc.</w:t>
            </w:r>
          </w:p>
        </w:tc>
        <w:tc>
          <w:tcPr>
            <w:tcW w:w="10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540" w:type="dxa"/>
            <w:vAlign w:val="bottom"/>
            <w:gridSpan w:val="2"/>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shd w:val="clear" w:color="auto" w:fill="CFF0FC"/>
          </w:tcPr>
          <w:p>
            <w:pPr>
              <w:spacing w:after="0"/>
              <w:rPr>
                <w:sz w:val="14"/>
                <w:szCs w:val="14"/>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0% to 6.50%</w:t>
            </w: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5.49% to 11.99%</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Avison Young Inc.</w:t>
            </w:r>
          </w:p>
        </w:tc>
        <w:tc>
          <w:tcPr>
            <w:tcW w:w="10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5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 to 6.50%</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5.60% to 12.10%</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JP Intermediate B, LLC</w:t>
            </w:r>
          </w:p>
        </w:tc>
        <w:tc>
          <w:tcPr>
            <w:tcW w:w="10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540" w:type="dxa"/>
            <w:vAlign w:val="bottom"/>
            <w:gridSpan w:val="2"/>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FF0FC"/>
          </w:tcPr>
          <w:p>
            <w:pPr>
              <w:spacing w:after="0"/>
              <w:rPr>
                <w:sz w:val="14"/>
                <w:szCs w:val="14"/>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0% to 4.00%</w:t>
            </w: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5.17% to 9.17%</w:t>
            </w:r>
          </w:p>
        </w:tc>
        <w:tc>
          <w:tcPr>
            <w:tcW w:w="0" w:type="dxa"/>
            <w:vAlign w:val="bottom"/>
          </w:tcPr>
          <w:p>
            <w:pPr>
              <w:spacing w:after="0"/>
              <w:rPr>
                <w:sz w:val="1"/>
                <w:szCs w:val="1"/>
                <w:color w:val="auto"/>
              </w:rPr>
            </w:pPr>
          </w:p>
        </w:tc>
      </w:tr>
      <w:tr>
        <w:trPr>
          <w:trHeight w:val="148"/>
        </w:trPr>
        <w:tc>
          <w:tcPr>
            <w:tcW w:w="4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Kreg, LLC</w:t>
            </w:r>
          </w:p>
        </w:tc>
        <w:tc>
          <w:tcPr>
            <w:tcW w:w="100" w:type="dxa"/>
            <w:vAlign w:val="bottom"/>
          </w:tcPr>
          <w:p>
            <w:pPr>
              <w:spacing w:after="0"/>
              <w:rPr>
                <w:sz w:val="12"/>
                <w:szCs w:val="12"/>
                <w:color w:val="auto"/>
              </w:rPr>
            </w:pPr>
          </w:p>
        </w:tc>
        <w:tc>
          <w:tcPr>
            <w:tcW w:w="1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54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0.50%</w:t>
            </w:r>
          </w:p>
        </w:tc>
        <w:tc>
          <w:tcPr>
            <w:tcW w:w="1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0% to 0.50%</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10.07% to 10.57%</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RideNow Group, Inc. (F/K/A RumbleOn, Inc.)</w:t>
            </w:r>
          </w:p>
        </w:tc>
        <w:tc>
          <w:tcPr>
            <w:tcW w:w="10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540" w:type="dxa"/>
            <w:vAlign w:val="bottom"/>
            <w:gridSpan w:val="2"/>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FF0FC"/>
          </w:tcPr>
          <w:p>
            <w:pPr>
              <w:spacing w:after="0"/>
              <w:rPr>
                <w:sz w:val="14"/>
                <w:szCs w:val="14"/>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0% to 1.0%</w:t>
            </w: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10.85% to 11.85%</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RideNow Group, Inc. (F/K/A RumbleOn, Inc.)</w:t>
            </w:r>
          </w:p>
        </w:tc>
        <w:tc>
          <w:tcPr>
            <w:tcW w:w="10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5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 to 1.0%</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10.85% to 11.85%</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Wellful Inc. (F/K/A KNS Acquisition Corp.)</w:t>
            </w:r>
          </w:p>
        </w:tc>
        <w:tc>
          <w:tcPr>
            <w:tcW w:w="10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540" w:type="dxa"/>
            <w:vAlign w:val="bottom"/>
            <w:gridSpan w:val="2"/>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FF0FC"/>
          </w:tcPr>
          <w:p>
            <w:pPr>
              <w:spacing w:after="0"/>
              <w:rPr>
                <w:sz w:val="14"/>
                <w:szCs w:val="14"/>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0% to 1.75%</w:t>
            </w: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8.33% to 10.08%</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7" w:hanging="367"/>
        <w:spacing w:after="0"/>
        <w:tabs>
          <w:tab w:leader="none" w:pos="36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expiration date of the warrants.</w:t>
      </w:r>
    </w:p>
    <w:p>
      <w:pPr>
        <w:spacing w:after="0" w:line="3" w:lineRule="exact"/>
        <w:rPr>
          <w:rFonts w:ascii="Times New Roman" w:cs="Times New Roman" w:eastAsia="Times New Roman" w:hAnsi="Times New Roman"/>
          <w:sz w:val="14"/>
          <w:szCs w:val="14"/>
          <w:color w:val="auto"/>
        </w:rPr>
      </w:pPr>
    </w:p>
    <w:p>
      <w:pPr>
        <w:ind w:left="367" w:hanging="367"/>
        <w:spacing w:after="0" w:line="221" w:lineRule="auto"/>
        <w:tabs>
          <w:tab w:leader="none" w:pos="36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a portion of investment held by a wholly owned subsidiary subject to income tax.</w:t>
      </w:r>
    </w:p>
    <w:p>
      <w:pPr>
        <w:ind w:left="367" w:hanging="367"/>
        <w:spacing w:after="0" w:line="221" w:lineRule="auto"/>
        <w:tabs>
          <w:tab w:leader="none" w:pos="36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Fair value was determined by reference to observable inputs other than quoted prices in active markets and are considered Level 2 under GAAP. See </w:t>
      </w:r>
      <w:r>
        <w:rPr>
          <w:rFonts w:ascii="Times New Roman" w:cs="Times New Roman" w:eastAsia="Times New Roman" w:hAnsi="Times New Roman"/>
          <w:sz w:val="14"/>
          <w:szCs w:val="14"/>
          <w:b w:val="1"/>
          <w:bCs w:val="1"/>
          <w:color w:val="auto"/>
        </w:rPr>
        <w:t>Note 5</w:t>
      </w:r>
      <w:r>
        <w:rPr>
          <w:rFonts w:ascii="Times New Roman" w:cs="Times New Roman" w:eastAsia="Times New Roman" w:hAnsi="Times New Roman"/>
          <w:sz w:val="14"/>
          <w:szCs w:val="14"/>
          <w:color w:val="auto"/>
        </w:rPr>
        <w:t xml:space="preserve"> for further details.</w:t>
      </w:r>
    </w:p>
    <w:p>
      <w:pPr>
        <w:ind w:left="367" w:hanging="367"/>
        <w:spacing w:after="0" w:line="221" w:lineRule="auto"/>
        <w:tabs>
          <w:tab w:leader="none" w:pos="36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(or a portion thereof) held by OFSCC-FS. These assets are pledged as collateral of the BNP Facility and cannot be pledged under any other debt obligation of the Company.</w:t>
      </w:r>
    </w:p>
    <w:p>
      <w:pPr>
        <w:ind w:left="367" w:right="40" w:hanging="367"/>
        <w:spacing w:after="0"/>
        <w:tabs>
          <w:tab w:leader="none" w:pos="36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Amortized cost reflects accretion of effective yield less any cash distributions received or entitled to be received from CLO subordinated note investments. CLO subordinated note positions are entitled to recurring distributions, which are generally equal to the residual cash flow of payments received on underlying securities less contractual payments to debt holders and fund expenses.</w:t>
      </w:r>
    </w:p>
    <w:p>
      <w:pPr>
        <w:spacing w:after="0" w:line="123" w:lineRule="exact"/>
        <w:rPr>
          <w:rFonts w:ascii="Times New Roman" w:cs="Times New Roman" w:eastAsia="Times New Roman" w:hAnsi="Times New Roman"/>
          <w:sz w:val="14"/>
          <w:szCs w:val="14"/>
          <w:color w:val="auto"/>
        </w:rPr>
      </w:pPr>
    </w:p>
    <w:p>
      <w:pPr>
        <w:ind w:left="367" w:hanging="367"/>
        <w:spacing w:after="0" w:line="221" w:lineRule="auto"/>
        <w:tabs>
          <w:tab w:leader="none" w:pos="36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holds at least one seat on the portfolio company’s board of directors.</w:t>
      </w:r>
    </w:p>
    <w:p>
      <w:pPr>
        <w:ind w:left="367" w:right="320" w:hanging="367"/>
        <w:spacing w:after="0" w:line="221" w:lineRule="auto"/>
        <w:tabs>
          <w:tab w:leader="none" w:pos="36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 as there is no outstanding balance on the revolver or delayed draw loan. The Company earns unfunded commitment fees on undrawn revolving lines of credit balances, which are reported in fee income.</w:t>
      </w:r>
    </w:p>
    <w:p>
      <w:pPr>
        <w:ind w:left="367" w:hanging="367"/>
        <w:spacing w:after="0" w:line="221" w:lineRule="auto"/>
        <w:tabs>
          <w:tab w:leader="none" w:pos="36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an observer seat on the portfolio company’s board of directors.</w:t>
      </w:r>
    </w:p>
    <w:p>
      <w:pPr>
        <w:ind w:left="367" w:hanging="367"/>
        <w:spacing w:after="0" w:line="221" w:lineRule="auto"/>
        <w:tabs>
          <w:tab w:leader="none" w:pos="36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at fair value represents greater than 5% of total assets at December 31, 2025.</w:t>
      </w:r>
    </w:p>
    <w:p>
      <w:pPr>
        <w:ind w:left="367" w:hanging="367"/>
        <w:spacing w:after="0"/>
        <w:tabs>
          <w:tab w:leader="none" w:pos="36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the right to receive certain information provided to the board of directors.</w:t>
      </w:r>
    </w:p>
    <w:p>
      <w:pPr>
        <w:spacing w:after="0" w:line="19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321945</wp:posOffset>
            </wp:positionV>
            <wp:extent cx="71831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504" w:right="318" w:bottom="1440" w:gutter="0" w:footer="0" w:header="0"/>
        </w:sectPr>
      </w:pPr>
    </w:p>
    <w:bookmarkStart w:id="26" w:name="page27"/>
    <w:bookmarkEnd w:id="26"/>
    <w:p>
      <w:pPr>
        <w:ind w:left="7"/>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(continued)</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02" w:lineRule="exact"/>
        <w:rPr>
          <w:sz w:val="20"/>
          <w:szCs w:val="20"/>
          <w:color w:val="auto"/>
        </w:rPr>
      </w:pPr>
    </w:p>
    <w:p>
      <w:pPr>
        <w:ind w:left="367" w:hanging="367"/>
        <w:spacing w:after="0" w:line="233" w:lineRule="auto"/>
        <w:tabs>
          <w:tab w:leader="none" w:pos="36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investments became contractually due on December 22, 2025. The lending group has entered into a forbearance agreement extending the maturity date of the investments to August 31, 2026.</w:t>
      </w:r>
    </w:p>
    <w:p>
      <w:pPr>
        <w:ind w:left="367" w:hanging="367"/>
        <w:spacing w:after="0"/>
        <w:tabs>
          <w:tab w:leader="none" w:pos="36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equivalents held in a money market fund as of December 31, 2025. The Company also had cash deposits of $3,050 as of December 31, 2025.</w:t>
      </w:r>
    </w:p>
    <w:p>
      <w:pPr>
        <w:spacing w:after="0" w:line="124"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25" w:lineRule="exact"/>
        <w:rPr>
          <w:sz w:val="20"/>
          <w:szCs w:val="20"/>
          <w:color w:val="auto"/>
        </w:rPr>
      </w:pPr>
    </w:p>
    <w:p>
      <w:pPr>
        <w:jc w:val="center"/>
        <w:ind w:right="-146"/>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321945</wp:posOffset>
            </wp:positionV>
            <wp:extent cx="71831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127"/>
          </w:cols>
          <w:pgMar w:left="333" w:top="504" w:right="458"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OFS Capital Corporation, a Delaware corporation, is an externally managed, closed-end, non-diversified management investment company. The Company has elected to be regulated as a BDC under the 1940 Act. In addition, for income tax purposes, the Company has elected to be treated, and intends to qualify annually, as a RIC under Subchapter M of the Code.</w:t>
      </w:r>
    </w:p>
    <w:p>
      <w:pPr>
        <w:spacing w:after="0" w:line="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investment objective is to provide stockholders with both current income and capital appreciation primarily through debt investments and, to a lesser extent, equity investments.</w:t>
      </w:r>
    </w:p>
    <w:p>
      <w:pPr>
        <w:spacing w:after="0" w:line="5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OFS Advisor manages the day-to-day operations of, and provides investment advisory services to, the Company. In addition, OFS Advisor serves as the investment adviser to HPCI, a non-traded BDC with an investment strategy and objective similar to that of the Company. OFS Advisor also serves as the investment adviser to OCCI, a non-diversified, externally managed, closed-end management investment company that is registered as an investment company under the 1940 Act and that primarily invests in Structured Finance Securities. Additionally, OFS Advisor serves as the investment adviser to separately-managed accounts and sub-advisor to investment companies managed by an affiliate.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make investments directly or through one or more of its subsidiaries: OFSCC-FS, SBIC I LP or OFSCC-MB.</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OFSCC-FS, an indirect wholly owned and consolidated subsidiary of the Company, is a special-purpose vehicle formed in April 2019 for the purpose of acquiring senior secured loan investments. OFSCC-FS has debt financing through its Natixis Facility, which provides OFSCC-FS with borrowing capacity of up to $80,000 during its reinvestment period, subject to a borrowing base and other covenants.</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SBIC I LP is an investment company subsidiary previously licensed under the SBA’s small business investment company program that was subject to SBA regulations and policies. On March 1, 2024, SBIC I LP fully repaid its outstanding SBA debentures and, on April 17, 2024, surrendered its license to operate as an SBIC. On October 5, 2026, SBIC I LP admitted a third-party investor as a limited partner, which acquired 56.62% of the limited partnership interests of SBIC I LP. See “</w:t>
      </w:r>
      <w:r>
        <w:rPr>
          <w:rFonts w:ascii="Times New Roman" w:cs="Times New Roman" w:eastAsia="Times New Roman" w:hAnsi="Times New Roman"/>
          <w:sz w:val="18"/>
          <w:szCs w:val="18"/>
          <w:b w:val="1"/>
          <w:bCs w:val="1"/>
          <w:color w:val="auto"/>
        </w:rPr>
        <w:t>Note 11</w:t>
      </w:r>
      <w:r>
        <w:rPr>
          <w:rFonts w:ascii="Times New Roman" w:cs="Times New Roman" w:eastAsia="Times New Roman" w:hAnsi="Times New Roman"/>
          <w:sz w:val="18"/>
          <w:szCs w:val="18"/>
          <w:color w:val="auto"/>
        </w:rPr>
        <w:t>—Subsequent Events—Partial Monetization of Equity Interest” for additional information.</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OFSCC-MB is a wholly owned and consolidated subsidiary taxed under subchapter C of the Code that generally holds the Company’s equity investments in portfolio companies that are taxed as pass-through entities.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The Company is an investment company as defined in the accounting and reporting guidance under ASC Topic 946,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Services–Investment Companies</w:t>
      </w:r>
      <w:r>
        <w:rPr>
          <w:rFonts w:ascii="Times New Roman" w:cs="Times New Roman" w:eastAsia="Times New Roman" w:hAnsi="Times New Roman"/>
          <w:sz w:val="18"/>
          <w:szCs w:val="18"/>
          <w:color w:val="auto"/>
        </w:rPr>
        <w:t>. The accompanying interim consolidated financial statements of the Company and related financial information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prepared in accordance with GAAP for interim financial information and pursuant to the requirements for reporting on Form 10-Q, and Articles 6, 10 and 12 of Regulation S-X. Accordingly, they do not include all of the information and notes required by GAAP for annual financial statements. However, in the opinion of management, the consolidated financial statements include all adjustments, consisting only of normal and recurring accruals and adjustments, necessary for fair presentation as of, and for, the periods presented. These consolidated financial statements and notes hereto should be read in conjunction with the consolidated financial statements and notes thereto included in the Company's Annual Report on Form 10-K for the year ended December 31, 2025, filed on March 3, 2026. The results of operations for any interim period are not necessarily indicative of the results of operations to be expected for the full year.</w:t>
      </w:r>
    </w:p>
    <w:p>
      <w:pPr>
        <w:spacing w:after="0" w:line="8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The following information supplements the description of significant accounting policies contained in Note 2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consolidated financial statements included in the Company’s Annual Report on Form 10-K for the year ended December 31, 2025.</w:t>
      </w:r>
    </w:p>
    <w:p>
      <w:pPr>
        <w:spacing w:after="0" w:line="4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Reclassifications: </w:t>
      </w:r>
      <w:r>
        <w:rPr>
          <w:rFonts w:ascii="Times New Roman" w:cs="Times New Roman" w:eastAsia="Times New Roman" w:hAnsi="Times New Roman"/>
          <w:sz w:val="18"/>
          <w:szCs w:val="18"/>
          <w:color w:val="auto"/>
        </w:rPr>
        <w:t>Certain prior period amounts have been reclassified to conform to the current period presentation in the consolidated financial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accompanying notes thereto. Reclassifications did not impact net increase (decrease) in net assets resulting from operations, total assets, total liabilities or total net assets, or consolidated statements of changes in net assets and consolidated statements of cash flows classifications.</w:t>
      </w:r>
    </w:p>
    <w:p>
      <w:pPr>
        <w:spacing w:after="0" w:line="63"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reported amounts of assets and liabilities and disclosure of contingent assets and liabilities at the date of the financial statements and the reported amounts of revenues and expenses during the reporting period. Actual results could differ significantly from those estimates.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976" w:right="318"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20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w:t>
      </w:r>
      <w:r>
        <w:rPr>
          <w:rFonts w:ascii="Times New Roman" w:cs="Times New Roman" w:eastAsia="Times New Roman" w:hAnsi="Times New Roman"/>
          <w:sz w:val="18"/>
          <w:szCs w:val="18"/>
          <w:color w:val="auto"/>
        </w:rPr>
        <w:t>Aside from the Company’s investments, financial instruments that potentially subject the Company to concentrations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credit risk consist principally of cash deposits at financial institutions. At various times during the year, the Company exceeds the federally insured limits. The Company places cash deposits only with high credit quality institutions which OFS Advisor believes will mitigate the risk of loss due to credit risk. If borrowers completely fail to perform according to the terms of the contracts, the amount of loss due to credit risk from the Company’s investments is equal to the sum of the Company’s recorded investments and, if applicable, the unfunded commitments disclosed in </w:t>
      </w:r>
      <w:r>
        <w:rPr>
          <w:rFonts w:ascii="Times New Roman" w:cs="Times New Roman" w:eastAsia="Times New Roman" w:hAnsi="Times New Roman"/>
          <w:sz w:val="18"/>
          <w:szCs w:val="18"/>
          <w:b w:val="1"/>
          <w:bCs w:val="1"/>
          <w:color w:val="auto"/>
        </w:rPr>
        <w:t>Note 6</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Cash represents cash deposits held at U.S. Bank Trust Company, National Association and Citibank N.A., and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consist of highly liquid money market funds. Cash equivalents are classified as Level 1 assets and are carried at amortized cost which approximates fair value. The Company’s cash and cash equivalents are maintained with member banks of the FDIC, and, such balances generally exceed the FDIC insurance limits. The Company does not believe its cash and cash equivalent balances are exposed to any significant credit risk. In addition, the Company’s use of cash and cash equivalents held by OFSCC-FS is limited by the terms and conditions of the Natixis Facility, including but not limited to, the payment of interest expense and principal on the outstanding borrowings.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cash and cash equivalents as of September 30, 2026 and December 31, 2025:</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0"/>
                <w:szCs w:val="20"/>
                <w:color w:val="auto"/>
              </w:rPr>
            </w:pPr>
          </w:p>
        </w:tc>
      </w:tr>
      <w:tr>
        <w:trPr>
          <w:trHeight w:val="223"/>
        </w:trPr>
        <w:tc>
          <w:tcPr>
            <w:tcW w:w="6420" w:type="dxa"/>
            <w:vAlign w:val="bottom"/>
            <w:shd w:val="clear" w:color="auto" w:fill="C1E5F5"/>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1E5F5"/>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1E5F5"/>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60" w:type="dxa"/>
            <w:vAlign w:val="bottom"/>
            <w:shd w:val="clear" w:color="auto" w:fill="C1E5F5"/>
          </w:tcPr>
          <w:p>
            <w:pPr>
              <w:spacing w:after="0"/>
              <w:rPr>
                <w:sz w:val="19"/>
                <w:szCs w:val="19"/>
                <w:color w:val="auto"/>
              </w:rPr>
            </w:pPr>
          </w:p>
        </w:tc>
        <w:tc>
          <w:tcPr>
            <w:tcW w:w="220" w:type="dxa"/>
            <w:vAlign w:val="bottom"/>
            <w:shd w:val="clear" w:color="auto" w:fill="C1E5F5"/>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1E5F5"/>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00" w:type="dxa"/>
            <w:vAlign w:val="bottom"/>
            <w:shd w:val="clear" w:color="auto" w:fill="C1E5F5"/>
          </w:tcPr>
          <w:p>
            <w:pPr>
              <w:spacing w:after="0"/>
              <w:rPr>
                <w:sz w:val="19"/>
                <w:szCs w:val="19"/>
                <w:color w:val="auto"/>
              </w:rPr>
            </w:pPr>
          </w:p>
        </w:tc>
      </w:tr>
      <w:tr>
        <w:trPr>
          <w:trHeight w:val="22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r>
      <w:tr>
        <w:trPr>
          <w:trHeight w:val="263"/>
        </w:trPr>
        <w:tc>
          <w:tcPr>
            <w:tcW w:w="6420" w:type="dxa"/>
            <w:vAlign w:val="bottom"/>
            <w:tcBorders>
              <w:bottom w:val="single" w:sz="8" w:color="C1E5F5"/>
            </w:tcBorders>
            <w:shd w:val="clear" w:color="auto" w:fill="C1E5F5"/>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40" w:type="dxa"/>
            <w:vAlign w:val="bottom"/>
            <w:tcBorders>
              <w:bottom w:val="single" w:sz="8" w:color="auto"/>
            </w:tcBorders>
            <w:shd w:val="clear" w:color="auto" w:fill="C1E5F5"/>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1E5F5"/>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260" w:type="dxa"/>
            <w:vAlign w:val="bottom"/>
            <w:tcBorders>
              <w:bottom w:val="single" w:sz="8" w:color="C1E5F5"/>
            </w:tcBorders>
            <w:shd w:val="clear" w:color="auto" w:fill="C1E5F5"/>
          </w:tcPr>
          <w:p>
            <w:pPr>
              <w:spacing w:after="0"/>
              <w:rPr>
                <w:sz w:val="22"/>
                <w:szCs w:val="22"/>
                <w:color w:val="auto"/>
              </w:rPr>
            </w:pPr>
          </w:p>
        </w:tc>
        <w:tc>
          <w:tcPr>
            <w:tcW w:w="220" w:type="dxa"/>
            <w:vAlign w:val="bottom"/>
            <w:tcBorders>
              <w:bottom w:val="single" w:sz="8" w:color="auto"/>
            </w:tcBorders>
            <w:shd w:val="clear" w:color="auto" w:fill="C1E5F5"/>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bottom w:val="single" w:sz="8" w:color="auto"/>
            </w:tcBorders>
            <w:shd w:val="clear" w:color="auto" w:fill="C1E5F5"/>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tcBorders>
              <w:bottom w:val="single" w:sz="8" w:color="C1E5F5"/>
            </w:tcBorders>
            <w:shd w:val="clear" w:color="auto" w:fill="C1E5F5"/>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5541645</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5541645</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Related Party Transactions</w:t>
      </w:r>
    </w:p>
    <w:p>
      <w:pPr>
        <w:spacing w:after="0" w:line="11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Investment Advisory and Management Agreement: </w:t>
      </w:r>
      <w:r>
        <w:rPr>
          <w:rFonts w:ascii="Times New Roman" w:cs="Times New Roman" w:eastAsia="Times New Roman" w:hAnsi="Times New Roman"/>
          <w:sz w:val="18"/>
          <w:szCs w:val="18"/>
          <w:color w:val="auto"/>
        </w:rPr>
        <w:t>OFS Advisor manages the day-to-day operations of, and provides investment advisory services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pursuant to the Investment Advisory Agreement. The continuation of the Investment Advisory Agreement was most recently approved by the Board on April 2, 2026. Under the terms of the Investment Advisory Agreement, which are in accordance with the 1940 Act and subject to the overall supervision of the Board, OFS Advisor is responsible for sourcing potential investments, conducting research and diligence on potential investments and equity sponsors, analyzing investment opportunities, structuring investments, and monitoring investments and portfolio companies on an ongoing basis.</w:t>
      </w:r>
    </w:p>
    <w:p>
      <w:pPr>
        <w:spacing w:after="0" w:line="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OFS Advisor’s services under the Investment Advisory Agreement are not exclusive to the Company and OFS Advisor is free to furnish similar services to other entities, including other funds affiliated with OFS Advisor, so long as its services to the Company are not impaired. OFS Advisor also serves as the investment adviser or sub-adviser to various clients, including HPCI and OCCI.</w:t>
      </w:r>
    </w:p>
    <w:p>
      <w:pPr>
        <w:spacing w:after="0" w:line="6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OFS Advisor receives fees for providing services to the Company, consisting of two components: a base management fee and an incentive fee. The base management fee is calculated at an annual rate of 1.75% and based on the average value of the Company’s total assets (other than cash and cash equivalents, but including assets purchased with borrowed amounts and assets owned by any consolidated entity) at the end of the two most recently completed calendar quarters, adjusted for any share issuances or repurchases during the quarter.</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17, 2026, June 23, 2026 and September 16, 2026, OFS Advisor agreed to waive a portion of its base management fee for the quarters ended March 31, 2026, June 30, 2026 and September 30, 2026, respectively, attributable to all of the OFSCC-FS Assets to 0.25% per quarter (1.00% annualized) of the average value of the OFSCC-FS Assets (other than cash and cash equivalents, but including assets purchased with borrowed amounts) at the end of the two most recently completed calendar quarters. Prior to January 1, 2026, OFS Advisor had contractually agreed to reduce its base management fee for the entire year at the beginning of the year. As of September 30, 2026, there is no active ongoing fee waiver or reduction agreement in place with OFS Advisor for the remainder of 2026.</w:t>
      </w:r>
    </w:p>
    <w:p>
      <w:pPr>
        <w:spacing w:after="0" w:line="7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OFS Advisor agreed to reduce its base management fee attributable to all of the OFSCC-FS Assets to 0.25% per quarter (1.00% annualized) of the average value of the OFSCC-FS Assets (other than cash and cash equivalents, but including assets purchased with borrowed amounts) at the end of the two most recently completed calendar quarters.</w:t>
      </w:r>
    </w:p>
    <w:p>
      <w:pPr>
        <w:spacing w:after="0" w:line="6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OFS Advisor is not entitled to recoup the amount of the base management fee waived or reduced with respect to the OFSCC-FS Assets. The fee waivers and reductions were provided at OFS Advisor’s discretion; there can be no assurance that similar fee waivers or reductions will be provided in future periods.</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incentive fee has two parts. The first part of the incentive fee (the “Income Incentive Fee”) is calculated and payable quarterly in arrears based on the Company’s pre-incentive fee net investment income for the immediately preceding calendar quarter. For this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1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purpose, pre-incentive fee net investment income means interest income, dividend income and any other income (including any other fees such as commitment, syndication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and any interest expense and dividends paid on any outstanding preferred stock, but excluding the incentive fee). Pre-incentive fee net investment income includes, in the case of investments with a deferred interest or dividend feature (such as OID, debt instruments with PIK interest, equity investments with accruing or PIK dividend and zero coupon securities), accrued income that the Company has not yet received in cash.</w:t>
      </w:r>
    </w:p>
    <w:p>
      <w:pPr>
        <w:spacing w:after="0" w:line="8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Pre-incentive fee net investment income is expressed as a rate of return on the value of the Company’s net assets (defined as total assets less indebtedness and before taking into account any incentive fees payable during the period) at the end of the immediately preceding calendar quarter and adjusted for any share issuances or repurchases during such quarter.</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incentive fee with respect to pre-incentive fee net income is 20.0% of the amount, if any, by which the pre-incentive fee net investment income for the immediately preceding calendar quarter exceeds a 2.0% hurdle rate (which is 8.0% annualized) and a “catch-up” provision measured as of the end of each calendar quarter. Under this provision, in any calendar quarter, OFS Advisor receives no incentive fee until the net investment income equals the hurdle rate of 2.0%, but then receives, as a “catch-up,” 100.0% of the pre-incentive fee net investment income with respect to that portion of such pre-incentive fee net investment income, if any, that exceeds the hurdle rate but is less than 2.5%. The effect of this provision is that, if pre-incentive fee net investment income exceeds 2.5% in any calendar quarter, OFS Advisor will receive 20.0% of the pre-incentive fee net investment income.</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appreciation or depreciation. Because of the structure of the incentive fee, it is possible that the Company may pay an incentive fee in a quarter in which the Company incurs a loss. For example, if the Company receives pre-incentive fee net investment income in excess of the quarterly minimum hurdle rate, the Company will pay the applicable incentive fee even if the Company has incurred a loss in that quarter due to realized and unrealized capital losses. The Company’s net investment income used to calculate this part of the incentive fee is also included in the amount of the Company’s gross assets used to calculate the base management fee. These calculations are appropriately prorated for any period of less than three months.</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second part of the incentive fee (the “Capital Gains Fee”) is determined and payable in arrears as of the end of each calendar year (or upon termination of the Investment Advisory Agreement, as of the termination date), and equals 20.0% of the Company’s aggregate realized capital gains, if any, on a cumulative basis from the date of the election to be a BDC through the end of each calendar year, computed net of all realized capital losses, losses on extinguishment of debt, income taxes from realized capital gains and unrealized capital depreciation through the end of such year, less all previous amounts paid in respect of the Capital Gains Fee. Since inception through September 30, 2026, the Company has not made a Capital Gains Fee payment.</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accrues the Capital Gains Fee if, on a cumulative basis, the sum of net realized capital gains (losses) plus net unrealized appreciation (depreciation) is positive. An accrued Capital Gains Fee relating to net unrealized appreciation is deferred, and not due to OFS Advisor, until the close of the year in which such gains are realized. If, on a cumulative basis, the sum of net realized capital gains (losses) plus net unrealized appreciation (depreciation) decreases during a period, the Company will reverse any excess Capital Gains Fee previously accrued such that the amount of Capital Gains Fee accrued is no more than 20% of the sum of net realized capital gains (losses) plus net unrealized appreciation (depreciation). As of September 30, 2026 and December 31, 2025, there were no accrued Capital Gains Fees.</w:t>
      </w:r>
    </w:p>
    <w:p>
      <w:pPr>
        <w:spacing w:after="0" w:line="7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License Agreement: </w:t>
      </w:r>
      <w:r>
        <w:rPr>
          <w:rFonts w:ascii="Times New Roman" w:cs="Times New Roman" w:eastAsia="Times New Roman" w:hAnsi="Times New Roman"/>
          <w:sz w:val="18"/>
          <w:szCs w:val="18"/>
          <w:color w:val="auto"/>
        </w:rPr>
        <w:t>The Company entered into a license agreement with OFSAM under which OFSAM has granted the Company a non-exclusive,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royalty-free license to use the name “OFS.”</w:t>
      </w:r>
    </w:p>
    <w:p>
      <w:pPr>
        <w:spacing w:after="0" w:line="4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Administration Agreement: </w:t>
      </w:r>
      <w:r>
        <w:rPr>
          <w:rFonts w:ascii="Times New Roman" w:cs="Times New Roman" w:eastAsia="Times New Roman" w:hAnsi="Times New Roman"/>
          <w:sz w:val="18"/>
          <w:szCs w:val="18"/>
          <w:color w:val="auto"/>
        </w:rPr>
        <w:t>OFS Services furnishes the Company with office facilities and equipment, necessary software licenses and subscriptions,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clerical, bookkeeping and record keeping services at such facilities pursuant to the Administration Agreement. The continuation of the Administration Agreement was most recently approved by the Board on April 2, 2026. Under the Administration Agreement, OFS Services performs, or oversees the performance of, the Company’s required administrative services, which include being responsible for the financial records that the Company is required to maintain and preparing reports to its stockholders and all other reports and materials required to be filed with the SEC or any other regulatory authority. In addition, OFS Services assists the Company in determining and publishing its net asset value, oversees the preparation and filing of its tax returns and the printing and dissemination of reports to its stockholders, and generally oversees the payment of the Company’s expenses and the performance of administrative and professional services rendered to the Company by others. Under the Administration Agreement, OFS Services also provides managerial assistance on the Company’s behalf to those portfolio companies that have accepted the Company’s offer to provide such assistance. Payment under the Administration Agreement is equal to an amount based upon the Company’s allocable portion of OFS Services’s overhead in performing its obligations under the Administration Agreement,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30" w:name="page31"/>
    <w:bookmarkEnd w:id="30"/>
    <w:p>
      <w:pPr>
        <w:ind w:left="7"/>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15" w:lineRule="exact"/>
        <w:rPr>
          <w:sz w:val="20"/>
          <w:szCs w:val="20"/>
          <w:color w:val="auto"/>
        </w:rPr>
      </w:pPr>
    </w:p>
    <w:p>
      <w:pPr>
        <w:ind w:left="7"/>
        <w:spacing w:after="0" w:line="266" w:lineRule="auto"/>
        <w:rPr>
          <w:sz w:val="20"/>
          <w:szCs w:val="20"/>
          <w:color w:val="auto"/>
        </w:rPr>
      </w:pPr>
      <w:r>
        <w:rPr>
          <w:rFonts w:ascii="Times New Roman" w:cs="Times New Roman" w:eastAsia="Times New Roman" w:hAnsi="Times New Roman"/>
          <w:sz w:val="18"/>
          <w:szCs w:val="18"/>
          <w:color w:val="auto"/>
        </w:rPr>
        <w:t>including, but not limited to, rent, information technology services and the Company’s allocable portion of the cost of its officers, including its chief executive officer, chief financial officer, chief compliance officer and their respective staffs. To the extent that OFS Services outsources any of its functions, the Company will pay the fees associated with such functions on a direct basis without profit to OFS Services.</w:t>
      </w:r>
    </w:p>
    <w:p>
      <w:pPr>
        <w:spacing w:after="0" w:line="64" w:lineRule="exact"/>
        <w:rPr>
          <w:sz w:val="20"/>
          <w:szCs w:val="20"/>
          <w:color w:val="auto"/>
        </w:rPr>
      </w:pPr>
    </w:p>
    <w:p>
      <w:pPr>
        <w:ind w:left="7"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Equity Ownership: </w:t>
      </w:r>
      <w:r>
        <w:rPr>
          <w:rFonts w:ascii="Times New Roman" w:cs="Times New Roman" w:eastAsia="Times New Roman" w:hAnsi="Times New Roman"/>
          <w:sz w:val="18"/>
          <w:szCs w:val="18"/>
          <w:color w:val="auto"/>
        </w:rPr>
        <w:t>As of September 30, 2026, affiliates of OFS Advisor held approximately 3,031,366 shares of common stock, which is approximately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22.6% of the Company’s outstanding shares of common stock.</w:t>
      </w:r>
    </w:p>
    <w:p>
      <w:pPr>
        <w:spacing w:after="0" w:line="5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Expenses recognized under agreements with OFS Advisor and OFS Services and distributions paid to affiliates for the three and nine months ended</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September 30, 2026 and 2025 are presented below:</w:t>
      </w:r>
    </w:p>
    <w:p>
      <w:pPr>
        <w:spacing w:after="0" w:line="149" w:lineRule="exact"/>
        <w:rPr>
          <w:sz w:val="20"/>
          <w:szCs w:val="20"/>
          <w:color w:val="auto"/>
        </w:rPr>
      </w:pPr>
    </w:p>
    <w:tbl>
      <w:tblPr>
        <w:tblLayout w:type="fixed"/>
        <w:tblInd w:w="7"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860" w:type="dxa"/>
            <w:vAlign w:val="bottom"/>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20" w:type="dxa"/>
            <w:vAlign w:val="bottom"/>
          </w:tcPr>
          <w:p>
            <w:pPr>
              <w:spacing w:after="0"/>
              <w:rPr>
                <w:sz w:val="18"/>
                <w:szCs w:val="18"/>
                <w:color w:val="auto"/>
              </w:rPr>
            </w:pPr>
          </w:p>
        </w:tc>
        <w:tc>
          <w:tcPr>
            <w:tcW w:w="266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6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5620" w:type="dxa"/>
            <w:vAlign w:val="bottom"/>
            <w:shd w:val="clear" w:color="auto" w:fill="CFF0FC"/>
          </w:tcPr>
          <w:p>
            <w:pPr>
              <w:spacing w:after="0" w:line="222" w:lineRule="exact"/>
              <w:rPr>
                <w:sz w:val="20"/>
                <w:szCs w:val="20"/>
                <w:color w:val="auto"/>
              </w:rPr>
            </w:pPr>
            <w:r>
              <w:rPr>
                <w:rFonts w:ascii="Times New Roman" w:cs="Times New Roman" w:eastAsia="Times New Roman" w:hAnsi="Times New Roman"/>
                <w:sz w:val="18"/>
                <w:szCs w:val="18"/>
                <w:color w:val="auto"/>
              </w:rPr>
              <w:t>Base management fee</w:t>
            </w:r>
            <w:r>
              <w:rPr>
                <w:rFonts w:ascii="Times New Roman" w:cs="Times New Roman" w:eastAsia="Times New Roman" w:hAnsi="Times New Roman"/>
                <w:sz w:val="24"/>
                <w:szCs w:val="24"/>
                <w:color w:val="auto"/>
                <w:vertAlign w:val="superscript"/>
              </w:rPr>
              <w:t>(1)</w:t>
            </w: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3,996</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4,438</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Base management fee waiver</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Incentive Fee</w:t>
            </w: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1,758</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Administration fee</w:t>
            </w:r>
          </w:p>
        </w:tc>
        <w:tc>
          <w:tcPr>
            <w:tcW w:w="92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1,163</w:t>
            </w:r>
          </w:p>
        </w:tc>
      </w:tr>
      <w:tr>
        <w:trPr>
          <w:trHeight w:val="22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Distributions declared to affiliates</w:t>
            </w: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3,087</w:t>
            </w:r>
          </w:p>
        </w:tc>
      </w:tr>
    </w:tbl>
    <w:p>
      <w:pPr>
        <w:spacing w:after="0" w:line="211" w:lineRule="exact"/>
        <w:rPr>
          <w:sz w:val="20"/>
          <w:szCs w:val="20"/>
          <w:color w:val="auto"/>
        </w:rPr>
      </w:pPr>
    </w:p>
    <w:p>
      <w:pPr>
        <w:ind w:left="367" w:right="60" w:hanging="367"/>
        <w:spacing w:after="0" w:line="266" w:lineRule="auto"/>
        <w:tabs>
          <w:tab w:leader="none" w:pos="3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September 30, 2025, the Company’s base management fee on OFSCC-FS Assets was reduced by $248 and $771, respectively, pursuant to the fee reduction provided by OFS Advisor on such assets for the year ended December 31, 2025. The base management fee for the three and nine months ended September 30, 2025 is presented net of this fee reduction.</w:t>
      </w:r>
    </w:p>
    <w:p>
      <w:pPr>
        <w:spacing w:after="0" w:line="7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Note 4. Investments</w:t>
      </w:r>
    </w:p>
    <w:p>
      <w:pPr>
        <w:spacing w:after="0" w:line="121" w:lineRule="exact"/>
        <w:rPr>
          <w:sz w:val="20"/>
          <w:szCs w:val="20"/>
          <w:color w:val="auto"/>
        </w:rPr>
      </w:pPr>
    </w:p>
    <w:p>
      <w:pPr>
        <w:ind w:left="7" w:right="40"/>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 had loans to 31 portfolio companies, of which approximately 97% were first lien debt investments and 3% were second lien debt investments, at fair value. The Company also had equity investments in 14 portfolio companies and nine investments in Structured Finance Securities. As of September 30, 2026, the Company’s investments consisted of the following:</w:t>
      </w:r>
    </w:p>
    <w:p>
      <w:pPr>
        <w:spacing w:after="0" w:line="118" w:lineRule="exact"/>
        <w:rPr>
          <w:sz w:val="20"/>
          <w:szCs w:val="20"/>
          <w:color w:val="auto"/>
        </w:rPr>
      </w:pPr>
    </w:p>
    <w:tbl>
      <w:tblPr>
        <w:tblLayout w:type="fixed"/>
        <w:tblInd w:w="7"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Percentage of Total</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Percentage of Total</w:t>
            </w:r>
          </w:p>
        </w:tc>
      </w:tr>
      <w:tr>
        <w:trPr>
          <w:trHeight w:val="201"/>
        </w:trPr>
        <w:tc>
          <w:tcPr>
            <w:tcW w:w="3940" w:type="dxa"/>
            <w:vAlign w:val="bottom"/>
          </w:tcPr>
          <w:p>
            <w:pPr>
              <w:spacing w:after="0"/>
              <w:rPr>
                <w:sz w:val="17"/>
                <w:szCs w:val="17"/>
                <w:color w:val="auto"/>
              </w:rPr>
            </w:pPr>
          </w:p>
        </w:tc>
        <w:tc>
          <w:tcPr>
            <w:tcW w:w="1220" w:type="dxa"/>
            <w:vAlign w:val="bottom"/>
            <w:gridSpan w:val="3"/>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400" w:type="dxa"/>
            <w:vAlign w:val="bottom"/>
            <w:tcBorders>
              <w:top w:val="single" w:sz="8" w:color="auto"/>
            </w:tcBorders>
            <w:gridSpan w:val="2"/>
          </w:tcPr>
          <w:p>
            <w:pPr>
              <w:jc w:val="center"/>
              <w:ind w:right="3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100" w:type="dxa"/>
            <w:vAlign w:val="bottom"/>
            <w:tcBorders>
              <w:top w:val="single" w:sz="8" w:color="auto"/>
            </w:tcBorders>
          </w:tcPr>
          <w:p>
            <w:pPr>
              <w:jc w:val="right"/>
              <w:ind w:right="330"/>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top w:val="single" w:sz="8" w:color="auto"/>
            </w:tcBorders>
            <w:gridSpan w:val="2"/>
          </w:tcPr>
          <w:p>
            <w:pPr>
              <w:ind w:left="22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9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60" w:type="dxa"/>
            <w:vAlign w:val="bottom"/>
          </w:tcPr>
          <w:p>
            <w:pPr>
              <w:spacing w:after="0"/>
              <w:rPr>
                <w:sz w:val="17"/>
                <w:szCs w:val="17"/>
                <w:color w:val="auto"/>
              </w:rPr>
            </w:pPr>
          </w:p>
        </w:tc>
      </w:tr>
      <w:tr>
        <w:trPr>
          <w:trHeight w:val="238"/>
        </w:trPr>
        <w:tc>
          <w:tcPr>
            <w:tcW w:w="3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7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20"/>
                <w:szCs w:val="20"/>
                <w:color w:val="auto"/>
              </w:rPr>
            </w:pPr>
          </w:p>
        </w:tc>
      </w:tr>
      <w:tr>
        <w:trPr>
          <w:trHeight w:val="223"/>
        </w:trPr>
        <w:tc>
          <w:tcPr>
            <w:tcW w:w="3940" w:type="dxa"/>
            <w:vAlign w:val="bottom"/>
            <w:shd w:val="clear" w:color="auto" w:fill="CFF0FC"/>
          </w:tcPr>
          <w:p>
            <w:pPr>
              <w:spacing w:after="0" w:line="222" w:lineRule="exact"/>
              <w:rPr>
                <w:sz w:val="20"/>
                <w:szCs w:val="20"/>
                <w:color w:val="auto"/>
              </w:rPr>
            </w:pPr>
            <w:r>
              <w:rPr>
                <w:rFonts w:ascii="Times New Roman" w:cs="Times New Roman" w:eastAsia="Times New Roman" w:hAnsi="Times New Roman"/>
                <w:sz w:val="18"/>
                <w:szCs w:val="18"/>
                <w:color w:val="auto"/>
              </w:rPr>
              <w:t>First lien debt investments</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132,536</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56.6%</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134.0%</w:t>
            </w:r>
          </w:p>
        </w:tc>
        <w:tc>
          <w:tcPr>
            <w:tcW w:w="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108,291</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42.9%</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Second lien debt investments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2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equity</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16,305</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394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Common equity, warrants and other</w:t>
            </w:r>
            <w:r>
              <w:rPr>
                <w:rFonts w:ascii="Times New Roman" w:cs="Times New Roman" w:eastAsia="Times New Roman" w:hAnsi="Times New Roman"/>
                <w:sz w:val="24"/>
                <w:szCs w:val="24"/>
                <w:color w:val="auto"/>
                <w:vertAlign w:val="superscript"/>
              </w:rPr>
              <w:t>(2)</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26,739</w:t>
            </w:r>
          </w:p>
        </w:tc>
        <w:tc>
          <w:tcPr>
            <w:tcW w:w="2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96,738</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0"/>
        </w:trPr>
        <w:tc>
          <w:tcPr>
            <w:tcW w:w="3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3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 debt and equity investments</w:t>
            </w:r>
          </w:p>
        </w:tc>
        <w:tc>
          <w:tcPr>
            <w:tcW w:w="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185,028</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79.0%</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187.2%</w:t>
            </w:r>
          </w:p>
        </w:tc>
        <w:tc>
          <w:tcPr>
            <w:tcW w:w="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225,017</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89.2%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w:t>
            </w: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49,142</w:t>
            </w:r>
          </w:p>
        </w:tc>
        <w:tc>
          <w:tcPr>
            <w:tcW w:w="2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27,130</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0"/>
        </w:trPr>
        <w:tc>
          <w:tcPr>
            <w:tcW w:w="3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234,170</w:t>
            </w:r>
          </w:p>
        </w:tc>
        <w:tc>
          <w:tcPr>
            <w:tcW w:w="2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236.9%</w:t>
            </w:r>
          </w:p>
        </w:tc>
        <w:tc>
          <w:tcPr>
            <w:tcW w:w="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252,147</w:t>
            </w: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3137535</wp:posOffset>
            </wp:positionH>
            <wp:positionV relativeFrom="paragraph">
              <wp:posOffset>-24765</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3137535</wp:posOffset>
            </wp:positionH>
            <wp:positionV relativeFrom="paragraph">
              <wp:posOffset>-7620</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-24765</wp:posOffset>
            </wp:positionV>
            <wp:extent cx="1028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-7620</wp:posOffset>
            </wp:positionV>
            <wp:extent cx="1028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4869180</wp:posOffset>
            </wp:positionH>
            <wp:positionV relativeFrom="paragraph">
              <wp:posOffset>-24765</wp:posOffset>
            </wp:positionV>
            <wp:extent cx="1028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4869180</wp:posOffset>
            </wp:positionH>
            <wp:positionV relativeFrom="paragraph">
              <wp:posOffset>-7620</wp:posOffset>
            </wp:positionV>
            <wp:extent cx="1028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6283325</wp:posOffset>
            </wp:positionH>
            <wp:positionV relativeFrom="paragraph">
              <wp:posOffset>-24765</wp:posOffset>
            </wp:positionV>
            <wp:extent cx="1028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6283325</wp:posOffset>
            </wp:positionH>
            <wp:positionV relativeFrom="paragraph">
              <wp:posOffset>-7620</wp:posOffset>
            </wp:positionV>
            <wp:extent cx="1028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7054850</wp:posOffset>
            </wp:positionH>
            <wp:positionV relativeFrom="paragraph">
              <wp:posOffset>-24765</wp:posOffset>
            </wp:positionV>
            <wp:extent cx="1028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7054850</wp:posOffset>
            </wp:positionH>
            <wp:positionV relativeFrom="paragraph">
              <wp:posOffset>-7620</wp:posOffset>
            </wp:positionV>
            <wp:extent cx="1028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83" w:lineRule="exact"/>
        <w:rPr>
          <w:sz w:val="20"/>
          <w:szCs w:val="20"/>
          <w:color w:val="auto"/>
        </w:rPr>
      </w:pPr>
    </w:p>
    <w:p>
      <w:pPr>
        <w:ind w:left="367" w:right="40" w:hanging="367"/>
        <w:spacing w:after="0" w:line="258" w:lineRule="auto"/>
        <w:tabs>
          <w:tab w:leader="none" w:pos="3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unitranche investments (which are loans that combine both senior and subordinated debt, in a first lien position) with an amortized cost and fair value of $86,623 and $69,962, respectively. Unitranche loans generally provide leverage levels comparable to a combination of first lien and second lien or subordinated loans. Investments in “last out” pieces of unitranche loans will be similar to second lien loans in that such investments will be junior in priority to the “first out” piece of the same unitranche loan with respect to payment of principal and interest. Includes secondary priority debt investments governed under a first lien credit agreement.</w:t>
      </w:r>
    </w:p>
    <w:p>
      <w:pPr>
        <w:spacing w:after="0" w:line="17" w:lineRule="exact"/>
        <w:rPr>
          <w:rFonts w:ascii="Times New Roman" w:cs="Times New Roman" w:eastAsia="Times New Roman" w:hAnsi="Times New Roman"/>
          <w:sz w:val="18"/>
          <w:szCs w:val="18"/>
          <w:color w:val="auto"/>
        </w:rPr>
      </w:pPr>
    </w:p>
    <w:p>
      <w:pPr>
        <w:ind w:left="367" w:right="200" w:hanging="367"/>
        <w:spacing w:after="0" w:line="286" w:lineRule="auto"/>
        <w:tabs>
          <w:tab w:leader="none" w:pos="3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investment in Pfanstiehl Holdings, Inc. See “</w:t>
      </w:r>
      <w:r>
        <w:rPr>
          <w:rFonts w:ascii="Times New Roman" w:cs="Times New Roman" w:eastAsia="Times New Roman" w:hAnsi="Times New Roman"/>
          <w:sz w:val="18"/>
          <w:szCs w:val="18"/>
          <w:b w:val="1"/>
          <w:bCs w:val="1"/>
          <w:color w:val="auto"/>
        </w:rPr>
        <w:t>Note 4</w:t>
      </w:r>
      <w:r>
        <w:rPr>
          <w:rFonts w:ascii="Times New Roman" w:cs="Times New Roman" w:eastAsia="Times New Roman" w:hAnsi="Times New Roman"/>
          <w:sz w:val="18"/>
          <w:szCs w:val="18"/>
          <w:color w:val="auto"/>
        </w:rPr>
        <w:t>—Portfolio Concentration” and “</w:t>
      </w:r>
      <w:r>
        <w:rPr>
          <w:rFonts w:ascii="Times New Roman" w:cs="Times New Roman" w:eastAsia="Times New Roman" w:hAnsi="Times New Roman"/>
          <w:sz w:val="18"/>
          <w:szCs w:val="18"/>
          <w:b w:val="1"/>
          <w:bCs w:val="1"/>
          <w:color w:val="auto"/>
        </w:rPr>
        <w:t>Note 11</w:t>
      </w:r>
      <w:r>
        <w:rPr>
          <w:rFonts w:ascii="Times New Roman" w:cs="Times New Roman" w:eastAsia="Times New Roman" w:hAnsi="Times New Roman"/>
          <w:sz w:val="18"/>
          <w:szCs w:val="18"/>
          <w:color w:val="auto"/>
        </w:rPr>
        <w:t>—Subsequent Events—Partial Monetization of Equity Interest” for additional information.</w:t>
      </w:r>
    </w:p>
    <w:p>
      <w:pPr>
        <w:spacing w:after="0" w:line="15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760" w:right="318" w:bottom="1440" w:gutter="0" w:footer="0" w:header="0"/>
        </w:sectPr>
      </w:pPr>
    </w:p>
    <w:bookmarkStart w:id="31" w:name="page32"/>
    <w:bookmarkEnd w:id="31"/>
    <w:p>
      <w:pPr>
        <w:ind w:left="7"/>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15" w:lineRule="exact"/>
        <w:rPr>
          <w:sz w:val="20"/>
          <w:szCs w:val="20"/>
          <w:color w:val="auto"/>
        </w:rPr>
      </w:pPr>
    </w:p>
    <w:p>
      <w:pPr>
        <w:jc w:val="both"/>
        <w:ind w:left="7" w:right="900"/>
        <w:spacing w:after="0" w:line="312" w:lineRule="auto"/>
        <w:rPr>
          <w:sz w:val="20"/>
          <w:szCs w:val="20"/>
          <w:color w:val="auto"/>
        </w:rPr>
      </w:pPr>
      <w:r>
        <w:rPr>
          <w:rFonts w:ascii="Times New Roman" w:cs="Times New Roman" w:eastAsia="Times New Roman" w:hAnsi="Times New Roman"/>
          <w:sz w:val="17"/>
          <w:szCs w:val="17"/>
          <w:color w:val="auto"/>
        </w:rPr>
        <w:t>Geographic composition is determined by the location of the corporate headquarters of the portfolio company. All international investments are denominated in U.S. dollars. As of September 30, 2026 and December 31, 2025, the Company’s investment portfolio was domiciled as follows:</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4"/>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4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180,041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223,731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245,902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278,274</w:t>
            </w:r>
          </w:p>
        </w:tc>
      </w:tr>
      <w:tr>
        <w:trPr>
          <w:trHeight w:val="230"/>
        </w:trPr>
        <w:tc>
          <w:tcPr>
            <w:tcW w:w="416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Canada</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9"/>
                <w:szCs w:val="19"/>
                <w:color w:val="auto"/>
              </w:rPr>
            </w:pP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4,865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2,136</w:t>
            </w:r>
          </w:p>
        </w:tc>
      </w:tr>
      <w:tr>
        <w:trPr>
          <w:trHeight w:val="243"/>
        </w:trPr>
        <w:tc>
          <w:tcPr>
            <w:tcW w:w="41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Cayman Islands</w:t>
            </w:r>
            <w:r>
              <w:rPr>
                <w:rFonts w:ascii="Times New Roman" w:cs="Times New Roman" w:eastAsia="Times New Roman" w:hAnsi="Times New Roman"/>
                <w:sz w:val="24"/>
                <w:szCs w:val="24"/>
                <w:color w:val="auto"/>
                <w:vertAlign w:val="superscript"/>
              </w:rPr>
              <w:t>(1)(2)</w:t>
            </w:r>
          </w:p>
        </w:tc>
        <w:tc>
          <w:tcPr>
            <w:tcW w:w="16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44,850</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22,830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73,360</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57,112</w:t>
            </w:r>
          </w:p>
        </w:tc>
      </w:tr>
      <w:tr>
        <w:trPr>
          <w:trHeight w:val="230"/>
        </w:trPr>
        <w:tc>
          <w:tcPr>
            <w:tcW w:w="416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Jersey</w:t>
            </w:r>
            <w:r>
              <w:rPr>
                <w:rFonts w:ascii="Times New Roman" w:cs="Times New Roman" w:eastAsia="Times New Roman" w:hAnsi="Times New Roman"/>
                <w:sz w:val="24"/>
                <w:szCs w:val="24"/>
                <w:color w:val="auto"/>
                <w:vertAlign w:val="superscript"/>
              </w:rPr>
              <w:t>(1)(2)</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4,292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4,300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4,273</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4,493</w:t>
            </w:r>
          </w:p>
        </w:tc>
      </w:tr>
      <w:tr>
        <w:trPr>
          <w:trHeight w:val="249"/>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234,170</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252,147</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328,400</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3797300</wp:posOffset>
            </wp:positionH>
            <wp:positionV relativeFrom="paragraph">
              <wp:posOffset>-25400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-8255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5040630</wp:posOffset>
            </wp:positionH>
            <wp:positionV relativeFrom="paragraph">
              <wp:posOffset>-25400</wp:posOffset>
            </wp:positionV>
            <wp:extent cx="857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5040630</wp:posOffset>
            </wp:positionH>
            <wp:positionV relativeFrom="paragraph">
              <wp:posOffset>-8255</wp:posOffset>
            </wp:positionV>
            <wp:extent cx="857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6266180</wp:posOffset>
            </wp:positionH>
            <wp:positionV relativeFrom="paragraph">
              <wp:posOffset>-25400</wp:posOffset>
            </wp:positionV>
            <wp:extent cx="857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6266180</wp:posOffset>
            </wp:positionH>
            <wp:positionV relativeFrom="paragraph">
              <wp:posOffset>-8255</wp:posOffset>
            </wp:positionV>
            <wp:extent cx="857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83" w:lineRule="exact"/>
        <w:rPr>
          <w:sz w:val="20"/>
          <w:szCs w:val="20"/>
          <w:color w:val="auto"/>
        </w:rPr>
      </w:pPr>
    </w:p>
    <w:p>
      <w:pPr>
        <w:ind w:left="367" w:hanging="367"/>
        <w:spacing w:after="0"/>
        <w:tabs>
          <w:tab w:leader="none" w:pos="3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non-qualifying assets under Section 55(a) of the 1940 Act.</w:t>
      </w:r>
    </w:p>
    <w:p>
      <w:pPr>
        <w:spacing w:after="0" w:line="63" w:lineRule="exact"/>
        <w:rPr>
          <w:rFonts w:ascii="Times New Roman" w:cs="Times New Roman" w:eastAsia="Times New Roman" w:hAnsi="Times New Roman"/>
          <w:sz w:val="18"/>
          <w:szCs w:val="18"/>
          <w:color w:val="auto"/>
        </w:rPr>
      </w:pPr>
    </w:p>
    <w:p>
      <w:pPr>
        <w:ind w:left="367" w:right="400" w:hanging="367"/>
        <w:spacing w:after="0" w:line="281" w:lineRule="auto"/>
        <w:tabs>
          <w:tab w:leader="none" w:pos="3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domiciled in the Cayman Islands and Jersey represent certain Structured Finance Securities held by the Company. These investments generally represent beneficial interests in underlying portfolios of debt investments in companies domiciled in the United States.</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As of September 30, 2026, the industry composition of the Company’s investment portfolio was as follows:</w:t>
      </w:r>
    </w:p>
    <w:p>
      <w:pPr>
        <w:spacing w:after="0" w:line="167" w:lineRule="exact"/>
        <w:rPr>
          <w:sz w:val="20"/>
          <w:szCs w:val="20"/>
          <w:color w:val="auto"/>
        </w:rPr>
      </w:pPr>
    </w:p>
    <w:tbl>
      <w:tblPr>
        <w:tblLayout w:type="fixed"/>
        <w:tblInd w:w="7"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Percentage of Total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Percentage of Total</w:t>
            </w:r>
          </w:p>
        </w:tc>
      </w:tr>
      <w:tr>
        <w:trPr>
          <w:trHeight w:val="201"/>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40" w:type="dxa"/>
            <w:vAlign w:val="bottom"/>
          </w:tcPr>
          <w:p>
            <w:pPr>
              <w:jc w:val="right"/>
              <w:ind w:right="210"/>
              <w:spacing w:after="0" w:line="201"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7"/>
                <w:szCs w:val="17"/>
                <w:color w:val="auto"/>
              </w:rPr>
            </w:pPr>
          </w:p>
        </w:tc>
        <w:tc>
          <w:tcPr>
            <w:tcW w:w="1040" w:type="dxa"/>
            <w:vAlign w:val="bottom"/>
          </w:tcPr>
          <w:p>
            <w:pPr>
              <w:jc w:val="right"/>
              <w:ind w:right="390"/>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36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860" w:type="dxa"/>
            <w:vAlign w:val="bottom"/>
          </w:tcPr>
          <w:p>
            <w:pPr>
              <w:jc w:val="right"/>
              <w:ind w:right="27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7"/>
                <w:szCs w:val="17"/>
                <w:color w:val="auto"/>
              </w:rPr>
            </w:pPr>
          </w:p>
        </w:tc>
        <w:tc>
          <w:tcPr>
            <w:tcW w:w="1040" w:type="dxa"/>
            <w:vAlign w:val="bottom"/>
          </w:tcPr>
          <w:p>
            <w:pPr>
              <w:jc w:val="right"/>
              <w:ind w:right="370"/>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Assets</w:t>
            </w:r>
          </w:p>
        </w:tc>
      </w:tr>
      <w:tr>
        <w:trPr>
          <w:trHeight w:val="205"/>
        </w:trPr>
        <w:tc>
          <w:tcPr>
            <w:tcW w:w="4440" w:type="dxa"/>
            <w:vAlign w:val="bottom"/>
            <w:tcBorders>
              <w:top w:val="single" w:sz="8" w:color="auto"/>
            </w:tcBorders>
            <w:shd w:val="clear" w:color="auto" w:fill="CFF0FC"/>
          </w:tcPr>
          <w:p>
            <w:pPr>
              <w:ind w:left="80"/>
              <w:spacing w:after="0" w:line="205" w:lineRule="exact"/>
              <w:rPr>
                <w:sz w:val="20"/>
                <w:szCs w:val="20"/>
                <w:color w:val="auto"/>
              </w:rPr>
            </w:pPr>
            <w:r>
              <w:rPr>
                <w:rFonts w:ascii="Times New Roman" w:cs="Times New Roman" w:eastAsia="Times New Roman" w:hAnsi="Times New Roman"/>
                <w:sz w:val="18"/>
                <w:szCs w:val="18"/>
                <w:color w:val="auto"/>
              </w:rPr>
              <w:t>Administrative and Support and Waste</w:t>
            </w:r>
          </w:p>
        </w:tc>
        <w:tc>
          <w:tcPr>
            <w:tcW w:w="1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r>
      <w:tr>
        <w:trPr>
          <w:trHeight w:val="234"/>
        </w:trPr>
        <w:tc>
          <w:tcPr>
            <w:tcW w:w="4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Management and Remediation Services</w:t>
            </w: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11,170</w:t>
            </w: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10,925</w:t>
            </w: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1,954</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Education Services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Finance and Insurance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3,295</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3,072</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Health Care and Social Assistance</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45,588</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18,509</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Information</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18,871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16,593</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Management of Companies and Enterprises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12,551</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10,682</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Manufacturing</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18,472</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98,378</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30"/>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Services (except Public Administration)</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1,952</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1,941</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Professional, Scientific, and Technical Services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22,780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22,703</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30"/>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Public Administration</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9"/>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Real Estate and Rental and Leasing</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26,659</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26,046</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30"/>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Retail Trade</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10,785</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9,386</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Wholesale Trade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9,578</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5,288</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debt and equity investments</w:t>
            </w:r>
          </w:p>
        </w:tc>
        <w:tc>
          <w:tcPr>
            <w:tcW w:w="10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185,028</w:t>
            </w:r>
          </w:p>
        </w:tc>
        <w:tc>
          <w:tcPr>
            <w:tcW w:w="12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225,017</w:t>
            </w:r>
          </w:p>
        </w:tc>
        <w:tc>
          <w:tcPr>
            <w:tcW w:w="120" w:type="dxa"/>
            <w:vAlign w:val="bottom"/>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49,142</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27,130</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63"/>
        </w:trPr>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234,170</w:t>
            </w:r>
          </w:p>
        </w:tc>
        <w:tc>
          <w:tcPr>
            <w:tcW w:w="1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252,147</w:t>
            </w:r>
          </w:p>
        </w:tc>
        <w:tc>
          <w:tcPr>
            <w:tcW w:w="12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5177790</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5177790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5812155</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5812155</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6429375</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6429375</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7" w:right="12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loans to 34 portfolio companies, of which 95% were first lien debt investments and 5% were second lien debt investments, at fair value. The Company also held equity investments in 15 portfolio companies and 14 investments in Structured Finance Securities. At December 31, 2025, the Company’s investments consisted of the following:</w:t>
      </w:r>
    </w:p>
    <w:p>
      <w:pPr>
        <w:spacing w:after="0" w:line="118" w:lineRule="exact"/>
        <w:rPr>
          <w:sz w:val="20"/>
          <w:szCs w:val="20"/>
          <w:color w:val="auto"/>
        </w:rPr>
      </w:pPr>
    </w:p>
    <w:tbl>
      <w:tblPr>
        <w:tblLayout w:type="fixed"/>
        <w:tblInd w:w="7"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Percentage of Total</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Percentage of Total</w:t>
            </w:r>
          </w:p>
        </w:tc>
      </w:tr>
      <w:tr>
        <w:trPr>
          <w:trHeight w:val="201"/>
        </w:trPr>
        <w:tc>
          <w:tcPr>
            <w:tcW w:w="3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gridSpan w:val="3"/>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300" w:type="dxa"/>
            <w:vAlign w:val="bottom"/>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17"/>
                <w:szCs w:val="17"/>
                <w:color w:val="auto"/>
              </w:rPr>
            </w:pPr>
          </w:p>
        </w:tc>
        <w:tc>
          <w:tcPr>
            <w:tcW w:w="1240" w:type="dxa"/>
            <w:vAlign w:val="bottom"/>
          </w:tcPr>
          <w:p>
            <w:pPr>
              <w:jc w:val="right"/>
              <w:ind w:right="490"/>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27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7"/>
                <w:szCs w:val="17"/>
                <w:color w:val="auto"/>
              </w:rPr>
            </w:pPr>
          </w:p>
        </w:tc>
        <w:tc>
          <w:tcPr>
            <w:tcW w:w="1080" w:type="dxa"/>
            <w:vAlign w:val="bottom"/>
          </w:tcPr>
          <w:p>
            <w:pPr>
              <w:jc w:val="right"/>
              <w:ind w:right="390"/>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38"/>
        </w:trPr>
        <w:tc>
          <w:tcPr>
            <w:tcW w:w="3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Assets</w:t>
            </w:r>
          </w:p>
        </w:tc>
      </w:tr>
      <w:tr>
        <w:trPr>
          <w:trHeight w:val="223"/>
        </w:trPr>
        <w:tc>
          <w:tcPr>
            <w:tcW w:w="3420" w:type="dxa"/>
            <w:vAlign w:val="bottom"/>
            <w:shd w:val="clear" w:color="auto" w:fill="CFF0FC"/>
          </w:tcPr>
          <w:p>
            <w:pPr>
              <w:spacing w:after="0" w:line="222" w:lineRule="exact"/>
              <w:rPr>
                <w:sz w:val="20"/>
                <w:szCs w:val="20"/>
                <w:color w:val="auto"/>
              </w:rPr>
            </w:pPr>
            <w:r>
              <w:rPr>
                <w:rFonts w:ascii="Times New Roman" w:cs="Times New Roman" w:eastAsia="Times New Roman" w:hAnsi="Times New Roman"/>
                <w:sz w:val="18"/>
                <w:szCs w:val="18"/>
                <w:color w:val="auto"/>
              </w:rPr>
              <w:t>First lien debt investments</w:t>
            </w:r>
            <w:r>
              <w:rPr>
                <w:rFonts w:ascii="Times New Roman" w:cs="Times New Roman" w:eastAsia="Times New Roman" w:hAnsi="Times New Roman"/>
                <w:sz w:val="24"/>
                <w:szCs w:val="24"/>
                <w:color w:val="auto"/>
                <w:vertAlign w:val="superscript"/>
              </w:rPr>
              <w:t>(1)</w:t>
            </w:r>
          </w:p>
        </w:tc>
        <w:tc>
          <w:tcPr>
            <w:tcW w:w="70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188,236</w:t>
            </w:r>
          </w:p>
        </w:tc>
        <w:tc>
          <w:tcPr>
            <w:tcW w:w="100" w:type="dxa"/>
            <w:vAlign w:val="bottom"/>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170,405</w:t>
            </w:r>
          </w:p>
        </w:tc>
        <w:tc>
          <w:tcPr>
            <w:tcW w:w="120" w:type="dxa"/>
            <w:vAlign w:val="bottom"/>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w:t>
            </w:r>
          </w:p>
        </w:tc>
      </w:tr>
      <w:tr>
        <w:trPr>
          <w:trHeight w:val="22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Second lien debt investments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24,924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9,409</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equity</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14,287</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12,567</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342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Common equity, warrants and other</w:t>
            </w:r>
            <w:r>
              <w:rPr>
                <w:rFonts w:ascii="Times New Roman" w:cs="Times New Roman" w:eastAsia="Times New Roman" w:hAnsi="Times New Roman"/>
                <w:sz w:val="24"/>
                <w:szCs w:val="24"/>
                <w:color w:val="auto"/>
                <w:vertAlign w:val="superscript"/>
              </w:rPr>
              <w:t>(2)</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23,320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88,029</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23"/>
        </w:trPr>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 debt and equity investments</w:t>
            </w:r>
          </w:p>
        </w:tc>
        <w:tc>
          <w:tcPr>
            <w:tcW w:w="70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250,767</w:t>
            </w:r>
          </w:p>
        </w:tc>
        <w:tc>
          <w:tcPr>
            <w:tcW w:w="100" w:type="dxa"/>
            <w:vAlign w:val="bottom"/>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280,410</w:t>
            </w:r>
          </w:p>
        </w:tc>
        <w:tc>
          <w:tcPr>
            <w:tcW w:w="120" w:type="dxa"/>
            <w:vAlign w:val="bottom"/>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w:t>
            </w: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77,633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61,605</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63"/>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7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328,400</w:t>
            </w:r>
          </w:p>
        </w:tc>
        <w:tc>
          <w:tcPr>
            <w:tcW w:w="10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342,015</w:t>
            </w:r>
          </w:p>
        </w:tc>
        <w:tc>
          <w:tcPr>
            <w:tcW w:w="12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-24765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3300730</wp:posOffset>
            </wp:positionH>
            <wp:positionV relativeFrom="paragraph">
              <wp:posOffset>-8255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4191635</wp:posOffset>
            </wp:positionH>
            <wp:positionV relativeFrom="paragraph">
              <wp:posOffset>-24765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4191635</wp:posOffset>
            </wp:positionH>
            <wp:positionV relativeFrom="paragraph">
              <wp:posOffset>-8255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5040630</wp:posOffset>
            </wp:positionH>
            <wp:positionV relativeFrom="paragraph">
              <wp:posOffset>-24765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5040630</wp:posOffset>
            </wp:positionH>
            <wp:positionV relativeFrom="paragraph">
              <wp:posOffset>-8255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-24765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-8255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6403975</wp:posOffset>
            </wp:positionH>
            <wp:positionV relativeFrom="paragraph">
              <wp:posOffset>-24765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6403975</wp:posOffset>
            </wp:positionH>
            <wp:positionV relativeFrom="paragraph">
              <wp:posOffset>-8255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20" w:h="16838" w:orient="portrait"/>
          <w:cols w:equalWidth="0" w:num="1">
            <w:col w:w="11267"/>
          </w:cols>
          <w:pgMar w:left="333" w:top="760" w:right="318"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760" w:right="318" w:bottom="1440" w:gutter="0" w:footer="0" w:header="0"/>
          <w:type w:val="continuous"/>
        </w:sectPr>
      </w:pPr>
    </w:p>
    <w:bookmarkStart w:id="32" w:name="page33"/>
    <w:bookmarkEnd w:id="32"/>
    <w:p>
      <w:pPr>
        <w:ind w:left="7"/>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28" w:lineRule="exact"/>
        <w:rPr>
          <w:sz w:val="20"/>
          <w:szCs w:val="20"/>
          <w:color w:val="auto"/>
        </w:rPr>
      </w:pPr>
    </w:p>
    <w:p>
      <w:pPr>
        <w:ind w:left="367" w:right="40" w:hanging="367"/>
        <w:spacing w:after="0" w:line="258" w:lineRule="auto"/>
        <w:tabs>
          <w:tab w:leader="none" w:pos="36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unitranche investments (which are loans that combine both senior and subordinated debt, in a first lien position) with an amortized cost and fair value of $130,270 and $116,279, respectively. Unitranche loans generally provide leverage levels comparable to a combination of first lien and second lien or subordinated loans. Investments in “last out” pieces of unitranche loans will be similar to second lien loans in that such investments will be junior in priority to the “first out” piece of the same unitranche loan with respect to payment of principal and interest. Includes secondary priority debt investments governed under a first lien credit agreement.</w:t>
      </w:r>
    </w:p>
    <w:p>
      <w:pPr>
        <w:spacing w:after="0" w:line="17" w:lineRule="exact"/>
        <w:rPr>
          <w:rFonts w:ascii="Times New Roman" w:cs="Times New Roman" w:eastAsia="Times New Roman" w:hAnsi="Times New Roman"/>
          <w:sz w:val="18"/>
          <w:szCs w:val="18"/>
          <w:color w:val="auto"/>
        </w:rPr>
      </w:pPr>
    </w:p>
    <w:p>
      <w:pPr>
        <w:ind w:left="367" w:right="200" w:hanging="367"/>
        <w:spacing w:after="0" w:line="286" w:lineRule="auto"/>
        <w:tabs>
          <w:tab w:leader="none" w:pos="36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investment in Pfanstiehl Holdings, Inc. See “</w:t>
      </w:r>
      <w:r>
        <w:rPr>
          <w:rFonts w:ascii="Times New Roman" w:cs="Times New Roman" w:eastAsia="Times New Roman" w:hAnsi="Times New Roman"/>
          <w:sz w:val="18"/>
          <w:szCs w:val="18"/>
          <w:b w:val="1"/>
          <w:bCs w:val="1"/>
          <w:color w:val="auto"/>
        </w:rPr>
        <w:t>Note 4</w:t>
      </w:r>
      <w:r>
        <w:rPr>
          <w:rFonts w:ascii="Times New Roman" w:cs="Times New Roman" w:eastAsia="Times New Roman" w:hAnsi="Times New Roman"/>
          <w:sz w:val="18"/>
          <w:szCs w:val="18"/>
          <w:color w:val="auto"/>
        </w:rPr>
        <w:t>—Portfolio Concentration” and “</w:t>
      </w:r>
      <w:r>
        <w:rPr>
          <w:rFonts w:ascii="Times New Roman" w:cs="Times New Roman" w:eastAsia="Times New Roman" w:hAnsi="Times New Roman"/>
          <w:sz w:val="18"/>
          <w:szCs w:val="18"/>
          <w:b w:val="1"/>
          <w:bCs w:val="1"/>
          <w:color w:val="auto"/>
        </w:rPr>
        <w:t>Note 11</w:t>
      </w:r>
      <w:r>
        <w:rPr>
          <w:rFonts w:ascii="Times New Roman" w:cs="Times New Roman" w:eastAsia="Times New Roman" w:hAnsi="Times New Roman"/>
          <w:sz w:val="18"/>
          <w:szCs w:val="18"/>
          <w:color w:val="auto"/>
        </w:rPr>
        <w:t>—Subsequent Events—Partial Monetization of Equity Interest” for additional information.</w:t>
      </w:r>
    </w:p>
    <w:p>
      <w:pPr>
        <w:spacing w:after="0" w:line="5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As of December 31, 2025, the industry compositions of the Company’s debt and equity investments were as follows:</w:t>
      </w:r>
    </w:p>
    <w:p>
      <w:pPr>
        <w:spacing w:after="0" w:line="167" w:lineRule="exact"/>
        <w:rPr>
          <w:sz w:val="20"/>
          <w:szCs w:val="20"/>
          <w:color w:val="auto"/>
        </w:rPr>
      </w:pPr>
    </w:p>
    <w:tbl>
      <w:tblPr>
        <w:tblLayout w:type="fixed"/>
        <w:tblInd w:w="7"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Percentage of Total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Percentage of Total</w:t>
            </w:r>
          </w:p>
        </w:tc>
      </w:tr>
      <w:tr>
        <w:trPr>
          <w:trHeight w:val="201"/>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2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40" w:type="dxa"/>
            <w:vAlign w:val="bottom"/>
          </w:tcPr>
          <w:p>
            <w:pPr>
              <w:jc w:val="right"/>
              <w:ind w:right="210"/>
              <w:spacing w:after="0" w:line="201"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17"/>
                <w:szCs w:val="17"/>
                <w:color w:val="auto"/>
              </w:rPr>
            </w:pPr>
          </w:p>
        </w:tc>
        <w:tc>
          <w:tcPr>
            <w:tcW w:w="1000" w:type="dxa"/>
            <w:vAlign w:val="bottom"/>
          </w:tcPr>
          <w:p>
            <w:pPr>
              <w:jc w:val="right"/>
              <w:ind w:right="350"/>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38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920" w:type="dxa"/>
            <w:vAlign w:val="bottom"/>
          </w:tcPr>
          <w:p>
            <w:pPr>
              <w:jc w:val="right"/>
              <w:ind w:right="29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7"/>
                <w:szCs w:val="17"/>
                <w:color w:val="auto"/>
              </w:rPr>
            </w:pPr>
          </w:p>
        </w:tc>
        <w:tc>
          <w:tcPr>
            <w:tcW w:w="1080" w:type="dxa"/>
            <w:vAlign w:val="bottom"/>
          </w:tcPr>
          <w:p>
            <w:pPr>
              <w:jc w:val="right"/>
              <w:ind w:right="410"/>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Assets</w:t>
            </w:r>
          </w:p>
        </w:tc>
      </w:tr>
      <w:tr>
        <w:trPr>
          <w:trHeight w:val="205"/>
        </w:trPr>
        <w:tc>
          <w:tcPr>
            <w:tcW w:w="4360" w:type="dxa"/>
            <w:vAlign w:val="bottom"/>
            <w:tcBorders>
              <w:top w:val="single" w:sz="8" w:color="auto"/>
            </w:tcBorders>
            <w:shd w:val="clear" w:color="auto" w:fill="CFF0FC"/>
          </w:tcPr>
          <w:p>
            <w:pPr>
              <w:ind w:left="80"/>
              <w:spacing w:after="0" w:line="205" w:lineRule="exact"/>
              <w:rPr>
                <w:sz w:val="20"/>
                <w:szCs w:val="20"/>
                <w:color w:val="auto"/>
              </w:rPr>
            </w:pPr>
            <w:r>
              <w:rPr>
                <w:rFonts w:ascii="Times New Roman" w:cs="Times New Roman" w:eastAsia="Times New Roman" w:hAnsi="Times New Roman"/>
                <w:sz w:val="18"/>
                <w:szCs w:val="18"/>
                <w:color w:val="auto"/>
              </w:rPr>
              <w:t>Administrative and Support and Waste</w:t>
            </w:r>
          </w:p>
        </w:tc>
        <w:tc>
          <w:tcPr>
            <w:tcW w:w="1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r>
      <w:tr>
        <w:trPr>
          <w:trHeight w:val="234"/>
        </w:trPr>
        <w:tc>
          <w:tcPr>
            <w:tcW w:w="4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Management and Remediation Services</w:t>
            </w:r>
          </w:p>
        </w:tc>
        <w:tc>
          <w:tcPr>
            <w:tcW w:w="32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11,234</w:t>
            </w: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11,006</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18,986</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9,644</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4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Education Services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17,891</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18,023</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Finance and Insurance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3,193</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3,068</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4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Health Care and Social Assistance</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68,571</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48,653</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30"/>
        </w:trPr>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Information</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23,651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18,136</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9"/>
        </w:trPr>
        <w:tc>
          <w:tcPr>
            <w:tcW w:w="4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Management of Companies and Enterprises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12,562</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11,419</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Manufacturing</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22,336</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97,061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16"/>
        </w:trPr>
        <w:tc>
          <w:tcPr>
            <w:tcW w:w="4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Services (except Public Administration)</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Professional, Scientific, and Technical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19,384</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19,451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4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Public Administration</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Real Estate and Rental and Leasing</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25,720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22,507</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4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Retail Trade</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13,355</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11,895</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Wholesale Trade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11,688</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8,016</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debt and equity investments</w:t>
            </w:r>
          </w:p>
        </w:tc>
        <w:tc>
          <w:tcPr>
            <w:tcW w:w="1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250,767</w:t>
            </w:r>
          </w:p>
        </w:tc>
        <w:tc>
          <w:tcPr>
            <w:tcW w:w="12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280,410</w:t>
            </w:r>
          </w:p>
        </w:tc>
        <w:tc>
          <w:tcPr>
            <w:tcW w:w="120" w:type="dxa"/>
            <w:vAlign w:val="bottom"/>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w:t>
            </w:r>
          </w:p>
        </w:tc>
      </w:tr>
      <w:tr>
        <w:trPr>
          <w:trHeight w:val="230"/>
        </w:trPr>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77,633</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61,605</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63"/>
        </w:trPr>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328,400</w:t>
            </w:r>
          </w:p>
        </w:tc>
        <w:tc>
          <w:tcPr>
            <w:tcW w:w="1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342,015</w:t>
            </w:r>
          </w:p>
        </w:tc>
        <w:tc>
          <w:tcPr>
            <w:tcW w:w="12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-25400</wp:posOffset>
            </wp:positionV>
            <wp:extent cx="768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3531870</wp:posOffset>
            </wp:positionH>
            <wp:positionV relativeFrom="paragraph">
              <wp:posOffset>-8255</wp:posOffset>
            </wp:positionV>
            <wp:extent cx="768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-25400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-8255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5092065</wp:posOffset>
            </wp:positionH>
            <wp:positionV relativeFrom="paragraph">
              <wp:posOffset>-25400</wp:posOffset>
            </wp:positionV>
            <wp:extent cx="774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5092065</wp:posOffset>
            </wp:positionH>
            <wp:positionV relativeFrom="paragraph">
              <wp:posOffset>-8255</wp:posOffset>
            </wp:positionV>
            <wp:extent cx="774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-25400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-8255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6395085</wp:posOffset>
            </wp:positionH>
            <wp:positionV relativeFrom="paragraph">
              <wp:posOffset>-25400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6395085</wp:posOffset>
            </wp:positionH>
            <wp:positionV relativeFrom="paragraph">
              <wp:posOffset>-8255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ind w:left="7" w:right="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Non-Accrual Loans: </w:t>
      </w:r>
      <w:r>
        <w:rPr>
          <w:rFonts w:ascii="Times New Roman" w:cs="Times New Roman" w:eastAsia="Times New Roman" w:hAnsi="Times New Roman"/>
          <w:sz w:val="18"/>
          <w:szCs w:val="18"/>
          <w:color w:val="auto"/>
        </w:rPr>
        <w:t>Management reviews, for placement on non-accrual status, all loans and CLO mezzanine debt investments that become past due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and interest, and/or when there is reasonable doubt that principal or interest will be collected. When a loan is placed on non-accrual status, accrued and unpaid cash interest is reversed.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appreciation/depreciation, as applicable. Additionally, Net Loan Fees are no longer recognized as of the date the loan is placed on non-accrual status. Depending upon management’s judgment, interest payments subsequently received on non-accrual investments may be recognized as interest income or applied as a reduction to amortized cost. Interest accruals and Net Loan Fee amortization are resumed on non-accrual investments only when they are brought current with respect to principal and interest payments or until a restructuring occurs and, in the judgment of management, it is probable that the Company will collect all principal and interest from the investment. For the three months ended September 30, 2026, loans to portfolio companies with an aggregate amortized cost and fair value of $6,782 and $2,119, respectively, were placed on non-accrual status. Additionally, during the three months ended September 30, 2026, loans to portfolio companies which had previously been on non-accrual status with an aggregate amortized cost and fair value of $9,081 and $301, respectively, were restructured for new debt and equity investments in the portfolio companies. The aggregate amortized cost and fair value of loans on non-accrual status as of September 30, 2026 was $41,710 and $23,411, respectively, and as of December 31, 2025 was $36,567 and $14,400, respectively.</w:t>
      </w:r>
    </w:p>
    <w:p>
      <w:pPr>
        <w:spacing w:after="0" w:line="18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760" w:right="318"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Portfolio Concentration: </w:t>
      </w:r>
      <w:r>
        <w:rPr>
          <w:rFonts w:ascii="Times New Roman" w:cs="Times New Roman" w:eastAsia="Times New Roman" w:hAnsi="Times New Roman"/>
          <w:sz w:val="18"/>
          <w:szCs w:val="18"/>
          <w:color w:val="auto"/>
        </w:rPr>
        <w:t>The following table presents the Company’s portfolio companies based on fair value that comprise greater than 10%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total net assets as of September 30, 2026:</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Percentage of Total</w:t>
            </w:r>
          </w:p>
        </w:tc>
        <w:tc>
          <w:tcPr>
            <w:tcW w:w="0" w:type="dxa"/>
            <w:vAlign w:val="bottom"/>
          </w:tcPr>
          <w:p>
            <w:pPr>
              <w:spacing w:after="0"/>
              <w:rPr>
                <w:sz w:val="1"/>
                <w:szCs w:val="1"/>
                <w:color w:val="auto"/>
              </w:rPr>
            </w:pPr>
          </w:p>
        </w:tc>
      </w:tr>
      <w:tr>
        <w:trPr>
          <w:trHeight w:val="201"/>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Investment</w:t>
            </w: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920" w:type="dxa"/>
            <w:vAlign w:val="bottom"/>
          </w:tcPr>
          <w:p>
            <w:pPr>
              <w:jc w:val="right"/>
              <w:ind w:right="29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7"/>
                <w:szCs w:val="17"/>
                <w:color w:val="auto"/>
              </w:rPr>
            </w:pPr>
          </w:p>
        </w:tc>
        <w:tc>
          <w:tcPr>
            <w:tcW w:w="1000" w:type="dxa"/>
            <w:vAlign w:val="bottom"/>
          </w:tcPr>
          <w:p>
            <w:pPr>
              <w:jc w:val="right"/>
              <w:ind w:right="370"/>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20" w:type="dxa"/>
            <w:vAlign w:val="bottom"/>
          </w:tcPr>
          <w:p>
            <w:pPr>
              <w:spacing w:after="0"/>
              <w:rPr>
                <w:sz w:val="20"/>
                <w:szCs w:val="20"/>
                <w:color w:val="auto"/>
              </w:rPr>
            </w:pPr>
          </w:p>
        </w:tc>
        <w:tc>
          <w:tcPr>
            <w:tcW w:w="260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223"/>
        </w:trPr>
        <w:tc>
          <w:tcPr>
            <w:tcW w:w="2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Pfanstiehl Holdings, Inc.</w:t>
            </w:r>
          </w:p>
        </w:tc>
        <w:tc>
          <w:tcPr>
            <w:tcW w:w="120" w:type="dxa"/>
            <w:vAlign w:val="bottom"/>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Equity</w:t>
            </w:r>
          </w:p>
        </w:tc>
        <w:tc>
          <w:tcPr>
            <w:tcW w:w="120" w:type="dxa"/>
            <w:vAlign w:val="bottom"/>
            <w:shd w:val="clear" w:color="auto" w:fill="CFF0FC"/>
          </w:tcPr>
          <w:p>
            <w:pPr>
              <w:spacing w:after="0"/>
              <w:rPr>
                <w:sz w:val="19"/>
                <w:szCs w:val="19"/>
                <w:color w:val="auto"/>
              </w:rPr>
            </w:pPr>
          </w:p>
        </w:tc>
        <w:tc>
          <w:tcPr>
            <w:tcW w:w="26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87,710</w:t>
            </w:r>
          </w:p>
        </w:tc>
        <w:tc>
          <w:tcPr>
            <w:tcW w:w="100" w:type="dxa"/>
            <w:vAlign w:val="bottom"/>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11"/>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Professional, Scientific, and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Inergex Holdings, LLC</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First Lien Debt</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Technical Services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17,303</w:t>
            </w:r>
          </w:p>
        </w:tc>
        <w:tc>
          <w:tcPr>
            <w:tcW w:w="10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1"/>
        </w:trPr>
        <w:tc>
          <w:tcPr>
            <w:tcW w:w="27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Preferred and</w:t>
            </w:r>
          </w:p>
        </w:tc>
        <w:tc>
          <w:tcPr>
            <w:tcW w:w="12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Equity,</w:t>
            </w:r>
          </w:p>
        </w:tc>
        <w:tc>
          <w:tcPr>
            <w:tcW w:w="12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Datascan Holdings, Inc.</w:t>
            </w:r>
          </w:p>
        </w:tc>
        <w:tc>
          <w:tcPr>
            <w:tcW w:w="1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Warrants</w:t>
            </w:r>
          </w:p>
        </w:tc>
        <w:tc>
          <w:tcPr>
            <w:tcW w:w="27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Real Estate and Rental and Leasing</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13,882</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16,860</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c>
          <w:tcPr>
            <w:tcW w:w="11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1"/>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Management of Companies and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One GI LLC</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First Lien Debt</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Enterprises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10,682</w:t>
            </w:r>
          </w:p>
        </w:tc>
        <w:tc>
          <w:tcPr>
            <w:tcW w:w="10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1"/>
        </w:trPr>
        <w:tc>
          <w:tcPr>
            <w:tcW w:w="27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First Lien Debt,</w:t>
            </w:r>
          </w:p>
        </w:tc>
        <w:tc>
          <w:tcPr>
            <w:tcW w:w="12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Boca Home Care Holdings, Inc.</w:t>
            </w:r>
            <w:r>
              <w:rPr>
                <w:rFonts w:ascii="Times New Roman" w:cs="Times New Roman" w:eastAsia="Times New Roman" w:hAnsi="Times New Roman"/>
                <w:sz w:val="24"/>
                <w:szCs w:val="24"/>
                <w:color w:val="auto"/>
                <w:vertAlign w:val="superscript"/>
              </w:rPr>
              <w:t>(1)</w:t>
            </w:r>
          </w:p>
        </w:tc>
        <w:tc>
          <w:tcPr>
            <w:tcW w:w="1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Preferred and</w:t>
            </w:r>
          </w:p>
        </w:tc>
        <w:tc>
          <w:tcPr>
            <w:tcW w:w="12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10,625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10,128</w:t>
            </w:r>
          </w:p>
        </w:tc>
        <w:tc>
          <w:tcPr>
            <w:tcW w:w="10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vMerge w:val="restart"/>
            <w:shd w:val="clear" w:color="auto" w:fill="CFF0FC"/>
          </w:tcPr>
          <w:p>
            <w:pPr>
              <w:spacing w:after="0"/>
              <w:rPr>
                <w:sz w:val="18"/>
                <w:szCs w:val="18"/>
                <w:color w:val="auto"/>
              </w:rPr>
            </w:pPr>
          </w:p>
        </w:tc>
        <w:tc>
          <w:tcPr>
            <w:tcW w:w="100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1"/>
        </w:trPr>
        <w:tc>
          <w:tcPr>
            <w:tcW w:w="2720" w:type="dxa"/>
            <w:vAlign w:val="bottom"/>
            <w:tcBorders>
              <w:bottom w:val="single" w:sz="8" w:color="CFF0FC"/>
            </w:tcBorders>
            <w:vMerge w:val="continue"/>
            <w:shd w:val="clear" w:color="auto" w:fill="CFF0FC"/>
          </w:tcPr>
          <w:p>
            <w:pPr>
              <w:spacing w:after="0"/>
              <w:rPr>
                <w:sz w:val="19"/>
                <w:szCs w:val="19"/>
                <w:color w:val="auto"/>
              </w:rPr>
            </w:pPr>
          </w:p>
        </w:tc>
        <w:tc>
          <w:tcPr>
            <w:tcW w:w="156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Equity</w:t>
            </w:r>
          </w:p>
        </w:tc>
        <w:tc>
          <w:tcPr>
            <w:tcW w:w="27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Health Care and Social Assistance</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54,578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142,683</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5173345</wp:posOffset>
            </wp:positionH>
            <wp:positionV relativeFrom="paragraph">
              <wp:posOffset>-179705</wp:posOffset>
            </wp:positionV>
            <wp:extent cx="68580" cy="1803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5790565</wp:posOffset>
            </wp:positionH>
            <wp:positionV relativeFrom="paragraph">
              <wp:posOffset>-179705</wp:posOffset>
            </wp:positionV>
            <wp:extent cx="68580" cy="1803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6433185</wp:posOffset>
            </wp:positionH>
            <wp:positionV relativeFrom="paragraph">
              <wp:posOffset>-179705</wp:posOffset>
            </wp:positionV>
            <wp:extent cx="77470" cy="1803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180340"/>
                    </a:xfrm>
                    <a:prstGeom prst="rect">
                      <a:avLst/>
                    </a:prstGeom>
                    <a:noFill/>
                  </pic:spPr>
                </pic:pic>
              </a:graphicData>
            </a:graphic>
          </wp:anchor>
        </w:drawing>
      </w:r>
    </w:p>
    <w:p>
      <w:pPr>
        <w:spacing w:after="0" w:line="8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tab/>
        <w:t>As of September 30, 2026, the Company had an outstanding commitment of $1,065 to fund the portfolio company’s undrawn revolver facility.</w:t>
      </w:r>
    </w:p>
    <w:p>
      <w:pPr>
        <w:spacing w:after="0" w:line="11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 deterioration in the operating performance of these portfolio investments, or other factors underlying the valuation of these investments, could have a material impact on the Company’s NAV.</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of Financial Instruments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investments are carried at fair value and determined in accordance with ASC 820 and a documented valuation policy that is applied in a consistent manner. Pursuant to Rule 2a-5 of the 1940 Act (“Rule 2a-5”), the Board designated OFS Advisor as the valuation designee to perform fair value determinations relating to the Company’s investments, and the Board maintains oversight of OFS Advisor in its capacity as valuation designee, as prescribed in Rule 2a-5. The Company engages third-party valuation firms to provide assistance to OFS Advisor in determining the fair value for a majority of its investments.</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Fair values are determined with models or other valuation techniques, valuation inputs, and assumptions that market participants would use in pricing an asset or liability. Valuation inputs are organized in a hierarchy that gives the highest priority to prices for identical assets or liabilities quoted in active markets (Level 1) and the lowest priority to fair values based on unobservable inputs (Level 3). The three levels of inputs in the fair value hierarchy are described below:</w:t>
      </w:r>
    </w:p>
    <w:p>
      <w:pPr>
        <w:spacing w:after="0" w:line="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in active markets for identical assets or liabilities that the reporting entity can access at the measurement date.</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quoted prices within Level 1 that are observable for the asset or liability, either directly or indirectly.</w:t>
      </w:r>
    </w:p>
    <w:p>
      <w:pPr>
        <w:spacing w:after="0" w:line="117" w:lineRule="exact"/>
        <w:rPr>
          <w:sz w:val="20"/>
          <w:szCs w:val="20"/>
          <w:color w:val="auto"/>
        </w:rPr>
      </w:pPr>
    </w:p>
    <w:p>
      <w:pPr>
        <w:ind w:left="1500" w:right="280" w:hanging="69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for the asset or liability, and situations where there is little, if any, market activity for the asset or liability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inputs into the determination of fair value are based upon the best information under the circumstances and may require management to exercise significant judgment or estimation. 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considers factors specific to the investment. The Company generally categorizes its investment portfolio into Level 3, and to a lesser extent Level 2, of the hierarchy.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1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assesses the levels of the investments at each measurement date, and transfers between levels are recognized on the measurement date. The following table presents the Company’s transfers of Level 2 and Level 3 debt investments for the three and nine months ended September 30, 2026 and 2025: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100" w:type="dxa"/>
            <w:vAlign w:val="bottom"/>
          </w:tcPr>
          <w:p>
            <w:pPr>
              <w:spacing w:after="0"/>
              <w:rPr>
                <w:sz w:val="18"/>
                <w:szCs w:val="18"/>
                <w:color w:val="auto"/>
              </w:rPr>
            </w:pPr>
          </w:p>
        </w:tc>
      </w:tr>
      <w:tr>
        <w:trPr>
          <w:trHeight w:val="238"/>
        </w:trPr>
        <w:tc>
          <w:tcPr>
            <w:tcW w:w="3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2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from Level 2 to Level 3</w:t>
            </w:r>
          </w:p>
        </w:tc>
        <w:tc>
          <w:tcPr>
            <w:tcW w:w="14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Transfers from Level 3 to Level 2</w:t>
            </w: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100" w:type="dxa"/>
            <w:vAlign w:val="bottom"/>
          </w:tcPr>
          <w:p>
            <w:pPr>
              <w:spacing w:after="0"/>
              <w:rPr>
                <w:sz w:val="20"/>
                <w:szCs w:val="20"/>
                <w:color w:val="auto"/>
              </w:rPr>
            </w:pPr>
          </w:p>
        </w:tc>
      </w:tr>
    </w:tbl>
    <w:p>
      <w:pPr>
        <w:spacing w:after="0" w:line="8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Transfers between levels occur when the availability of reliable Indicative Prices changes during the period. The Company classifies loan investments as Level 2 when sufficient Indicative Prices are available, and the depth of the market is sufficient, in management’s judgment, to transact at those prices in amounts approximating the Company’s investment position at the measurement date.</w:t>
      </w:r>
    </w:p>
    <w:p>
      <w:pPr>
        <w:spacing w:after="0" w:line="6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Level 3 investments, including the use of significant unobservable inputs, the fair value of the investments may differ significantly from the values that would have been used had a ready market or observable inputs existed for such investments and may differ materially from the values that may ultimately be received or settled. Further, such investments are generally subject to legal and other restrictions, or otherwise are less liquid than publicly traded instruments. If the Company were required to liquidate a portfolio investment in a forced or liquidation sale, the Company may realize significantly less than the value at which such investment had previously been recorded and incur a realized capital loss. The Company’s investments are subject to market risk as a result of economic and political developments, including impacts from interest rate changes and elevated inflation rates, the ongoing war between Russia and Ukraine, the escalated armed conflict and heightened regional tensions in the Middle East, activity in South America, instability in the U.S. and international banking systems, the agenda of the U.S. presidential administration, including the impact of tariff enactment and tax reductions, trade disputes with other countries, the risk of recession or the impact of the prolonged shutdown of U.S. government services, and related market volatility. Market risk is directly impacted by the volatility and liquidity in the markets in which certain investments are traded and can affect the fair value of the Company’s investments. The Company’s investments are also subject to interest rate risk. Changes in interest rates enacted by the U.S. Federal Reserve may impact the Company’s investment income, cost of funding and the valuation of its investment portfolio.</w:t>
      </w:r>
    </w:p>
    <w:p>
      <w:pPr>
        <w:spacing w:after="0" w:line="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investment portfolio measured at fair value on a recurring basis as of September 30, 2026 and December 31, 2025: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 as of</w:t>
            </w:r>
          </w:p>
        </w:tc>
      </w:tr>
      <w:tr>
        <w:trPr>
          <w:trHeight w:val="238"/>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 2026</w:t>
            </w: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investments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15,256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95,889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111,145</w:t>
            </w: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113,872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113,872</w:t>
            </w:r>
          </w:p>
        </w:tc>
      </w:tr>
      <w:tr>
        <w:trPr>
          <w:trHeight w:val="230"/>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27,130</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27,130</w:t>
            </w:r>
          </w:p>
        </w:tc>
      </w:tr>
      <w:tr>
        <w:trPr>
          <w:trHeight w:val="223"/>
        </w:trPr>
        <w:tc>
          <w:tcPr>
            <w:tcW w:w="4980" w:type="dxa"/>
            <w:vAlign w:val="bottom"/>
          </w:tcPr>
          <w:p>
            <w:pPr>
              <w:spacing w:after="0"/>
              <w:rPr>
                <w:sz w:val="19"/>
                <w:szCs w:val="19"/>
                <w:color w:val="auto"/>
              </w:rPr>
            </w:pP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15,256</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236,891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252,147</w:t>
            </w:r>
          </w:p>
        </w:tc>
      </w:tr>
      <w:tr>
        <w:trPr>
          <w:trHeight w:val="20"/>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-179705</wp:posOffset>
            </wp:positionV>
            <wp:extent cx="68580" cy="1803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4958715</wp:posOffset>
            </wp:positionH>
            <wp:positionV relativeFrom="paragraph">
              <wp:posOffset>-179705</wp:posOffset>
            </wp:positionV>
            <wp:extent cx="68580" cy="1803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5867400</wp:posOffset>
            </wp:positionH>
            <wp:positionV relativeFrom="paragraph">
              <wp:posOffset>-179705</wp:posOffset>
            </wp:positionV>
            <wp:extent cx="68580" cy="1803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 as of</w:t>
            </w:r>
          </w:p>
        </w:tc>
      </w:tr>
      <w:tr>
        <w:trPr>
          <w:trHeight w:val="238"/>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investments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14,809</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165,005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179,814</w:t>
            </w: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100,596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100,596</w:t>
            </w:r>
          </w:p>
        </w:tc>
      </w:tr>
      <w:tr>
        <w:trPr>
          <w:trHeight w:val="230"/>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61,605</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61,605</w:t>
            </w:r>
          </w:p>
        </w:tc>
      </w:tr>
      <w:tr>
        <w:trPr>
          <w:trHeight w:val="223"/>
        </w:trPr>
        <w:tc>
          <w:tcPr>
            <w:tcW w:w="4980" w:type="dxa"/>
            <w:vAlign w:val="bottom"/>
          </w:tcPr>
          <w:p>
            <w:pPr>
              <w:spacing w:after="0"/>
              <w:rPr>
                <w:sz w:val="19"/>
                <w:szCs w:val="19"/>
                <w:color w:val="auto"/>
              </w:rPr>
            </w:pP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14,809</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327,206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342,015</w:t>
            </w:r>
          </w:p>
        </w:tc>
      </w:tr>
      <w:tr>
        <w:trPr>
          <w:trHeight w:val="20"/>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763"/>
        </w:trPr>
        <w:tc>
          <w:tcPr>
            <w:tcW w:w="4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-1087755</wp:posOffset>
            </wp:positionV>
            <wp:extent cx="85725" cy="1797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4975860</wp:posOffset>
            </wp:positionH>
            <wp:positionV relativeFrom="paragraph">
              <wp:posOffset>-1087755</wp:posOffset>
            </wp:positionV>
            <wp:extent cx="85725" cy="1797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5884545</wp:posOffset>
            </wp:positionH>
            <wp:positionV relativeFrom="paragraph">
              <wp:posOffset>-1087755</wp:posOffset>
            </wp:positionV>
            <wp:extent cx="85725" cy="1797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35" w:name="page36"/>
    <w:bookmarkEnd w:id="35"/>
    <w:p>
      <w:pPr>
        <w:ind w:left="7"/>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207" w:lineRule="exact"/>
        <w:rPr>
          <w:sz w:val="20"/>
          <w:szCs w:val="20"/>
          <w:color w:val="auto"/>
        </w:rPr>
      </w:pPr>
    </w:p>
    <w:p>
      <w:pPr>
        <w:ind w:left="7" w:right="60"/>
        <w:spacing w:after="0" w:line="254" w:lineRule="auto"/>
        <w:rPr>
          <w:sz w:val="20"/>
          <w:szCs w:val="20"/>
          <w:color w:val="auto"/>
        </w:rPr>
      </w:pPr>
      <w:r>
        <w:rPr>
          <w:rFonts w:ascii="Times New Roman" w:cs="Times New Roman" w:eastAsia="Times New Roman" w:hAnsi="Times New Roman"/>
          <w:sz w:val="18"/>
          <w:szCs w:val="18"/>
          <w:color w:val="auto"/>
        </w:rPr>
        <w:t>The following tables provide the primary quantitative information about valuation techniques and the Company’s unobservable inputs to its Level 3 fair value measurements as of September 30, 2026 and December 31, 2025. The Company may make changes to the valuation techniques, among techniques otherwise commonly utilized in accordance with its valuation policies, and/or the weighting of techniques used for particular investments based on changes in facts-and-circumstances and depending on the availability of, or changes in, information in order to produce the best estimate of fair value as of the measurement date. In addition to the techniques and unobservable inputs noted in the tables below and in accordance with OFS Advisor’s valuation policy, OFS Advisor, as valuation designee, may also use other valuation techniques and methodologies when determining the fair value measurements of the Company’s investment assets. The tables are not intended to be all-inclusive and only present the most significant unobservable input(s) relevant to the valuation designee’s determination of fair value.</w:t>
      </w:r>
    </w:p>
    <w:p>
      <w:pPr>
        <w:spacing w:after="0" w:line="124" w:lineRule="exact"/>
        <w:rPr>
          <w:sz w:val="20"/>
          <w:szCs w:val="20"/>
          <w:color w:val="auto"/>
        </w:rPr>
      </w:pPr>
    </w:p>
    <w:tbl>
      <w:tblPr>
        <w:tblLayout w:type="fixed"/>
        <w:tblInd w:w="7"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Range</w:t>
            </w:r>
          </w:p>
        </w:tc>
      </w:tr>
      <w:tr>
        <w:trPr>
          <w:trHeight w:val="270"/>
        </w:trPr>
        <w:tc>
          <w:tcPr>
            <w:tcW w:w="22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September 30, 2026</w:t>
            </w:r>
          </w:p>
        </w:tc>
        <w:tc>
          <w:tcPr>
            <w:tcW w:w="100" w:type="dxa"/>
            <w:vAlign w:val="bottom"/>
          </w:tcPr>
          <w:p>
            <w:pPr>
              <w:spacing w:after="0"/>
              <w:rPr>
                <w:sz w:val="23"/>
                <w:szCs w:val="23"/>
                <w:color w:val="auto"/>
              </w:rPr>
            </w:pPr>
          </w:p>
        </w:tc>
        <w:tc>
          <w:tcPr>
            <w:tcW w:w="1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120" w:type="dxa"/>
            <w:vAlign w:val="bottom"/>
          </w:tcPr>
          <w:p>
            <w:pPr>
              <w:spacing w:after="0"/>
              <w:rPr>
                <w:sz w:val="23"/>
                <w:szCs w:val="23"/>
                <w:color w:val="auto"/>
              </w:rPr>
            </w:pPr>
          </w:p>
        </w:tc>
        <w:tc>
          <w:tcPr>
            <w:tcW w:w="24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20" w:type="dxa"/>
            <w:vAlign w:val="bottom"/>
          </w:tcPr>
          <w:p>
            <w:pPr>
              <w:spacing w:after="0"/>
              <w:rPr>
                <w:sz w:val="23"/>
                <w:szCs w:val="23"/>
                <w:color w:val="auto"/>
              </w:rPr>
            </w:pPr>
          </w:p>
        </w:tc>
        <w:tc>
          <w:tcPr>
            <w:tcW w:w="2460" w:type="dxa"/>
            <w:vAlign w:val="bottom"/>
            <w:tcBorders>
              <w:bottom w:val="single" w:sz="8" w:color="auto"/>
            </w:tcBorders>
            <w:gridSpan w:val="2"/>
          </w:tcPr>
          <w:p>
            <w:pPr>
              <w:ind w:left="400"/>
              <w:spacing w:after="0" w:line="270" w:lineRule="exact"/>
              <w:rPr>
                <w:sz w:val="20"/>
                <w:szCs w:val="20"/>
                <w:color w:val="auto"/>
              </w:rPr>
            </w:pPr>
            <w:r>
              <w:rPr>
                <w:rFonts w:ascii="Times New Roman" w:cs="Times New Roman" w:eastAsia="Times New Roman" w:hAnsi="Times New Roman"/>
                <w:sz w:val="18"/>
                <w:szCs w:val="18"/>
                <w:b w:val="1"/>
                <w:bCs w:val="1"/>
                <w:color w:val="auto"/>
              </w:rPr>
              <w:t>(Weighted average)</w:t>
            </w:r>
            <w:r>
              <w:rPr>
                <w:rFonts w:ascii="Times New Roman" w:cs="Times New Roman" w:eastAsia="Times New Roman" w:hAnsi="Times New Roman"/>
                <w:sz w:val="26"/>
                <w:szCs w:val="26"/>
                <w:b w:val="1"/>
                <w:bCs w:val="1"/>
                <w:color w:val="auto"/>
                <w:vertAlign w:val="superscript"/>
              </w:rPr>
              <w:t>(1)</w:t>
            </w:r>
          </w:p>
        </w:tc>
      </w:tr>
      <w:tr>
        <w:trPr>
          <w:trHeight w:val="223"/>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Debt investments:</w:t>
            </w: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r>
      <w:tr>
        <w:trPr>
          <w:trHeight w:val="229"/>
        </w:trPr>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lien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44,840</w:t>
            </w:r>
          </w:p>
        </w:tc>
        <w:tc>
          <w:tcPr>
            <w:tcW w:w="100" w:type="dxa"/>
            <w:vAlign w:val="bottom"/>
          </w:tcPr>
          <w:p>
            <w:pPr>
              <w:spacing w:after="0"/>
              <w:rPr>
                <w:sz w:val="19"/>
                <w:szCs w:val="19"/>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Discount rates</w:t>
            </w:r>
          </w:p>
        </w:tc>
        <w:tc>
          <w:tcPr>
            <w:tcW w:w="2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9.36% - 36.00% (12.35%)</w:t>
            </w:r>
          </w:p>
        </w:tc>
      </w:tr>
      <w:tr>
        <w:trPr>
          <w:trHeight w:val="229"/>
        </w:trPr>
        <w:tc>
          <w:tcPr>
            <w:tcW w:w="2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30,268</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 approach</w:t>
            </w:r>
          </w:p>
        </w:tc>
        <w:tc>
          <w:tcPr>
            <w:tcW w:w="2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EBITDA multiples</w:t>
            </w:r>
          </w:p>
        </w:tc>
        <w:tc>
          <w:tcPr>
            <w:tcW w:w="5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8"/>
              </w:rPr>
              <w:t>3.00x</w:t>
            </w:r>
          </w:p>
        </w:tc>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- 8.00x (5.44x)</w:t>
            </w:r>
          </w:p>
        </w:tc>
      </w:tr>
      <w:tr>
        <w:trPr>
          <w:trHeight w:val="230"/>
        </w:trPr>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Pr>
          <w:p>
            <w:pPr>
              <w:spacing w:after="0"/>
              <w:rPr>
                <w:sz w:val="19"/>
                <w:szCs w:val="19"/>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approach</w:t>
            </w: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Revenue multiples</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0.60x</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- 0.60x (0.60x)</w:t>
            </w:r>
          </w:p>
        </w:tc>
      </w:tr>
      <w:tr>
        <w:trPr>
          <w:trHeight w:val="216"/>
        </w:trPr>
        <w:tc>
          <w:tcPr>
            <w:tcW w:w="2240" w:type="dxa"/>
            <w:vAlign w:val="bottom"/>
            <w:shd w:val="clear" w:color="auto" w:fill="CAEEFB"/>
          </w:tcPr>
          <w:p>
            <w:pPr>
              <w:spacing w:after="0"/>
              <w:rPr>
                <w:sz w:val="18"/>
                <w:szCs w:val="18"/>
                <w:color w:val="auto"/>
              </w:rPr>
            </w:pPr>
          </w:p>
        </w:tc>
        <w:tc>
          <w:tcPr>
            <w:tcW w:w="100" w:type="dxa"/>
            <w:vAlign w:val="bottom"/>
            <w:shd w:val="clear" w:color="auto" w:fill="CAEEFB"/>
          </w:tcPr>
          <w:p>
            <w:pPr>
              <w:spacing w:after="0"/>
              <w:rPr>
                <w:sz w:val="18"/>
                <w:szCs w:val="18"/>
                <w:color w:val="auto"/>
              </w:rPr>
            </w:pPr>
          </w:p>
        </w:tc>
        <w:tc>
          <w:tcPr>
            <w:tcW w:w="1720" w:type="dxa"/>
            <w:vAlign w:val="bottom"/>
            <w:shd w:val="clear" w:color="auto" w:fill="CAEEFB"/>
          </w:tcPr>
          <w:p>
            <w:pPr>
              <w:jc w:val="right"/>
              <w:ind w:right="30"/>
              <w:spacing w:after="0"/>
              <w:rPr>
                <w:sz w:val="20"/>
                <w:szCs w:val="20"/>
                <w:color w:val="auto"/>
              </w:rPr>
            </w:pPr>
            <w:r>
              <w:rPr>
                <w:rFonts w:ascii="Times New Roman" w:cs="Times New Roman" w:eastAsia="Times New Roman" w:hAnsi="Times New Roman"/>
                <w:sz w:val="18"/>
                <w:szCs w:val="18"/>
                <w:color w:val="auto"/>
              </w:rPr>
              <w:t>16,040</w:t>
            </w:r>
          </w:p>
        </w:tc>
        <w:tc>
          <w:tcPr>
            <w:tcW w:w="100" w:type="dxa"/>
            <w:vAlign w:val="bottom"/>
            <w:shd w:val="clear" w:color="auto" w:fill="CAEEFB"/>
          </w:tcPr>
          <w:p>
            <w:pPr>
              <w:spacing w:after="0"/>
              <w:rPr>
                <w:sz w:val="18"/>
                <w:szCs w:val="18"/>
                <w:color w:val="auto"/>
              </w:rPr>
            </w:pPr>
          </w:p>
        </w:tc>
        <w:tc>
          <w:tcPr>
            <w:tcW w:w="1920" w:type="dxa"/>
            <w:vAlign w:val="bottom"/>
            <w:shd w:val="clear" w:color="auto" w:fill="CAEEFB"/>
          </w:tcPr>
          <w:p>
            <w:pPr>
              <w:ind w:left="20"/>
              <w:spacing w:after="0"/>
              <w:rPr>
                <w:sz w:val="20"/>
                <w:szCs w:val="20"/>
                <w:color w:val="auto"/>
              </w:rPr>
            </w:pPr>
            <w:r>
              <w:rPr>
                <w:rFonts w:ascii="Times New Roman" w:cs="Times New Roman" w:eastAsia="Times New Roman" w:hAnsi="Times New Roman"/>
                <w:sz w:val="18"/>
                <w:szCs w:val="18"/>
                <w:color w:val="auto"/>
              </w:rPr>
              <w:t>Market approach</w:t>
            </w:r>
          </w:p>
        </w:tc>
        <w:tc>
          <w:tcPr>
            <w:tcW w:w="2600" w:type="dxa"/>
            <w:vAlign w:val="bottom"/>
            <w:gridSpan w:val="2"/>
            <w:shd w:val="clear" w:color="auto" w:fill="CAEEFB"/>
          </w:tcPr>
          <w:p>
            <w:pPr>
              <w:ind w:left="120"/>
              <w:spacing w:after="0"/>
              <w:rPr>
                <w:sz w:val="20"/>
                <w:szCs w:val="20"/>
                <w:color w:val="auto"/>
              </w:rPr>
            </w:pPr>
            <w:r>
              <w:rPr>
                <w:rFonts w:ascii="Times New Roman" w:cs="Times New Roman" w:eastAsia="Times New Roman" w:hAnsi="Times New Roman"/>
                <w:sz w:val="18"/>
                <w:szCs w:val="18"/>
                <w:color w:val="auto"/>
              </w:rPr>
              <w:t>Transaction Price</w:t>
            </w:r>
          </w:p>
        </w:tc>
        <w:tc>
          <w:tcPr>
            <w:tcW w:w="120" w:type="dxa"/>
            <w:vAlign w:val="bottom"/>
            <w:shd w:val="clear" w:color="auto" w:fill="CAEEFB"/>
          </w:tcPr>
          <w:p>
            <w:pPr>
              <w:spacing w:after="0"/>
              <w:rPr>
                <w:sz w:val="18"/>
                <w:szCs w:val="18"/>
                <w:color w:val="auto"/>
              </w:rPr>
            </w:pPr>
          </w:p>
        </w:tc>
        <w:tc>
          <w:tcPr>
            <w:tcW w:w="420" w:type="dxa"/>
            <w:vAlign w:val="bottom"/>
            <w:shd w:val="clear" w:color="auto" w:fill="CAEEFB"/>
          </w:tcPr>
          <w:p>
            <w:pPr>
              <w:spacing w:after="0"/>
              <w:rPr>
                <w:sz w:val="18"/>
                <w:szCs w:val="18"/>
                <w:color w:val="auto"/>
              </w:rPr>
            </w:pPr>
          </w:p>
        </w:tc>
        <w:tc>
          <w:tcPr>
            <w:tcW w:w="2040" w:type="dxa"/>
            <w:vAlign w:val="bottom"/>
            <w:shd w:val="clear" w:color="auto" w:fill="CAEEFB"/>
          </w:tcPr>
          <w:p>
            <w:pPr>
              <w:spacing w:after="0"/>
              <w:rPr>
                <w:sz w:val="18"/>
                <w:szCs w:val="18"/>
                <w:color w:val="auto"/>
              </w:rPr>
            </w:pPr>
          </w:p>
        </w:tc>
      </w:tr>
      <w:tr>
        <w:trPr>
          <w:trHeight w:val="229"/>
        </w:trPr>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lien</w:t>
            </w:r>
          </w:p>
        </w:tc>
        <w:tc>
          <w:tcPr>
            <w:tcW w:w="10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19"/>
                <w:szCs w:val="19"/>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approach</w:t>
            </w: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EBITDA multiples</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9.00x</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- 9.00x (9.00x)</w:t>
            </w:r>
          </w:p>
        </w:tc>
      </w:tr>
      <w:tr>
        <w:trPr>
          <w:trHeight w:val="230"/>
        </w:trPr>
        <w:tc>
          <w:tcPr>
            <w:tcW w:w="2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 approach</w:t>
            </w:r>
          </w:p>
        </w:tc>
        <w:tc>
          <w:tcPr>
            <w:tcW w:w="2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Price</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r>
      <w:tr>
        <w:trPr>
          <w:trHeight w:val="229"/>
        </w:trPr>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187"/>
        </w:trPr>
        <w:tc>
          <w:tcPr>
            <w:tcW w:w="2240" w:type="dxa"/>
            <w:vAlign w:val="bottom"/>
            <w:shd w:val="clear" w:color="auto" w:fill="CFF0FC"/>
          </w:tcPr>
          <w:p>
            <w:pPr>
              <w:spacing w:after="0" w:line="187" w:lineRule="exact"/>
              <w:rPr>
                <w:sz w:val="20"/>
                <w:szCs w:val="20"/>
                <w:color w:val="auto"/>
              </w:rPr>
            </w:pPr>
            <w:r>
              <w:rPr>
                <w:rFonts w:ascii="Times New Roman" w:cs="Times New Roman" w:eastAsia="Times New Roman" w:hAnsi="Times New Roman"/>
                <w:sz w:val="18"/>
                <w:szCs w:val="18"/>
                <w:b w:val="1"/>
                <w:bCs w:val="1"/>
                <w:color w:val="auto"/>
              </w:rPr>
              <w:t>Structured Finance</w:t>
            </w:r>
          </w:p>
        </w:tc>
        <w:tc>
          <w:tcPr>
            <w:tcW w:w="100" w:type="dxa"/>
            <w:vAlign w:val="bottom"/>
            <w:shd w:val="clear" w:color="auto" w:fill="CFF0FC"/>
          </w:tcPr>
          <w:p>
            <w:pPr>
              <w:spacing w:after="0"/>
              <w:rPr>
                <w:sz w:val="16"/>
                <w:szCs w:val="16"/>
                <w:color w:val="auto"/>
              </w:rPr>
            </w:pPr>
          </w:p>
        </w:tc>
        <w:tc>
          <w:tcPr>
            <w:tcW w:w="1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040" w:type="dxa"/>
            <w:vAlign w:val="bottom"/>
            <w:shd w:val="clear" w:color="auto" w:fill="CFF0FC"/>
          </w:tcPr>
          <w:p>
            <w:pPr>
              <w:spacing w:after="0"/>
              <w:rPr>
                <w:sz w:val="16"/>
                <w:szCs w:val="16"/>
                <w:color w:val="auto"/>
              </w:rPr>
            </w:pPr>
          </w:p>
        </w:tc>
      </w:tr>
      <w:tr>
        <w:trPr>
          <w:trHeight w:val="272"/>
        </w:trPr>
        <w:tc>
          <w:tcPr>
            <w:tcW w:w="2240" w:type="dxa"/>
            <w:vAlign w:val="bottom"/>
            <w:shd w:val="clear" w:color="auto" w:fill="CFF0FC"/>
          </w:tcPr>
          <w:p>
            <w:pPr>
              <w:ind w:left="120"/>
              <w:spacing w:after="0" w:line="272" w:lineRule="exact"/>
              <w:rPr>
                <w:sz w:val="20"/>
                <w:szCs w:val="20"/>
                <w:color w:val="auto"/>
              </w:rPr>
            </w:pP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24"/>
                <w:szCs w:val="24"/>
                <w:b w:val="1"/>
                <w:bCs w:val="1"/>
                <w:color w:val="auto"/>
                <w:vertAlign w:val="superscript"/>
              </w:rPr>
              <w:t>(2)</w:t>
            </w: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23"/>
                <w:szCs w:val="23"/>
                <w:color w:val="auto"/>
              </w:rPr>
            </w:pPr>
          </w:p>
        </w:tc>
        <w:tc>
          <w:tcPr>
            <w:tcW w:w="17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9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24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2040" w:type="dxa"/>
            <w:vAlign w:val="bottom"/>
            <w:shd w:val="clear" w:color="auto" w:fill="CFF0FC"/>
          </w:tcPr>
          <w:p>
            <w:pPr>
              <w:spacing w:after="0"/>
              <w:rPr>
                <w:sz w:val="23"/>
                <w:szCs w:val="23"/>
                <w:color w:val="auto"/>
              </w:rPr>
            </w:pPr>
          </w:p>
        </w:tc>
      </w:tr>
      <w:tr>
        <w:trPr>
          <w:trHeight w:val="229"/>
        </w:trPr>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Subordinated notes</w:t>
            </w:r>
          </w:p>
        </w:tc>
        <w:tc>
          <w:tcPr>
            <w:tcW w:w="10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25,454</w:t>
            </w:r>
          </w:p>
        </w:tc>
        <w:tc>
          <w:tcPr>
            <w:tcW w:w="100" w:type="dxa"/>
            <w:vAlign w:val="bottom"/>
          </w:tcPr>
          <w:p>
            <w:pPr>
              <w:spacing w:after="0"/>
              <w:rPr>
                <w:sz w:val="19"/>
                <w:szCs w:val="19"/>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Discount rates</w:t>
            </w:r>
          </w:p>
        </w:tc>
        <w:tc>
          <w:tcPr>
            <w:tcW w:w="2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19.00% - 70.00% (33.57%)</w:t>
            </w:r>
          </w:p>
        </w:tc>
      </w:tr>
      <w:tr>
        <w:trPr>
          <w:trHeight w:val="230"/>
        </w:trPr>
        <w:tc>
          <w:tcPr>
            <w:tcW w:w="2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Constant default rate</w:t>
            </w:r>
          </w:p>
        </w:tc>
        <w:tc>
          <w:tcPr>
            <w:tcW w:w="25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2.00% - 2.00% (2.00%)</w:t>
            </w:r>
          </w:p>
        </w:tc>
      </w:tr>
      <w:tr>
        <w:trPr>
          <w:trHeight w:val="230"/>
        </w:trPr>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Recovery rate</w:t>
            </w:r>
          </w:p>
        </w:tc>
        <w:tc>
          <w:tcPr>
            <w:tcW w:w="2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65.00% - 65.00% (65.00%)</w:t>
            </w:r>
          </w:p>
        </w:tc>
      </w:tr>
      <w:tr>
        <w:trPr>
          <w:trHeight w:val="216"/>
        </w:trPr>
        <w:tc>
          <w:tcPr>
            <w:tcW w:w="2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Mezzanine debt</w:t>
            </w: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shd w:val="clear" w:color="auto" w:fill="CFF0FC"/>
          </w:tcPr>
          <w:p>
            <w:pPr>
              <w:spacing w:after="0"/>
              <w:rPr>
                <w:sz w:val="18"/>
                <w:szCs w:val="18"/>
                <w:color w:val="auto"/>
              </w:rPr>
            </w:pPr>
          </w:p>
        </w:tc>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2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Discount margin</w:t>
            </w:r>
          </w:p>
        </w:tc>
        <w:tc>
          <w:tcPr>
            <w:tcW w:w="25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20.0% - 20.0% (20.00%)</w:t>
            </w:r>
          </w:p>
        </w:tc>
      </w:tr>
      <w:tr>
        <w:trPr>
          <w:trHeight w:val="230"/>
        </w:trPr>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Constant default rate</w:t>
            </w:r>
          </w:p>
        </w:tc>
        <w:tc>
          <w:tcPr>
            <w:tcW w:w="2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2.00% - 2.00% (2.00%)</w:t>
            </w:r>
          </w:p>
        </w:tc>
      </w:tr>
      <w:tr>
        <w:trPr>
          <w:trHeight w:val="230"/>
        </w:trPr>
        <w:tc>
          <w:tcPr>
            <w:tcW w:w="2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Recovery rate</w:t>
            </w:r>
          </w:p>
        </w:tc>
        <w:tc>
          <w:tcPr>
            <w:tcW w:w="25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65.00% - 65.00% (65.00%)</w:t>
            </w:r>
          </w:p>
        </w:tc>
      </w:tr>
      <w:tr>
        <w:trPr>
          <w:trHeight w:val="230"/>
        </w:trPr>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0"/>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r>
      <w:tr>
        <w:trPr>
          <w:trHeight w:val="229"/>
        </w:trPr>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equity</w:t>
            </w:r>
          </w:p>
        </w:tc>
        <w:tc>
          <w:tcPr>
            <w:tcW w:w="10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16,766</w:t>
            </w:r>
          </w:p>
        </w:tc>
        <w:tc>
          <w:tcPr>
            <w:tcW w:w="100" w:type="dxa"/>
            <w:vAlign w:val="bottom"/>
          </w:tcPr>
          <w:p>
            <w:pPr>
              <w:spacing w:after="0"/>
              <w:rPr>
                <w:sz w:val="19"/>
                <w:szCs w:val="19"/>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approach</w:t>
            </w: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EBITDA multiples</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6.75x</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- 8.50x (8.49x)</w:t>
            </w:r>
          </w:p>
        </w:tc>
      </w:tr>
      <w:tr>
        <w:trPr>
          <w:trHeight w:val="230"/>
        </w:trPr>
        <w:tc>
          <w:tcPr>
            <w:tcW w:w="2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 approach</w:t>
            </w:r>
          </w:p>
        </w:tc>
        <w:tc>
          <w:tcPr>
            <w:tcW w:w="2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Price</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r>
      <w:tr>
        <w:trPr>
          <w:trHeight w:val="211"/>
        </w:trPr>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equity,</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34"/>
        </w:trPr>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warrants and other</w:t>
            </w:r>
          </w:p>
        </w:tc>
        <w:tc>
          <w:tcPr>
            <w:tcW w:w="10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8,294</w:t>
            </w:r>
          </w:p>
        </w:tc>
        <w:tc>
          <w:tcPr>
            <w:tcW w:w="10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approach</w:t>
            </w: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EBITDA multiples</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4.50x</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- 14.00x (8.48x)</w:t>
            </w:r>
          </w:p>
        </w:tc>
      </w:tr>
      <w:tr>
        <w:trPr>
          <w:trHeight w:val="230"/>
        </w:trPr>
        <w:tc>
          <w:tcPr>
            <w:tcW w:w="2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 approach</w:t>
            </w:r>
          </w:p>
        </w:tc>
        <w:tc>
          <w:tcPr>
            <w:tcW w:w="2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Revenue multiples</w:t>
            </w:r>
          </w:p>
        </w:tc>
        <w:tc>
          <w:tcPr>
            <w:tcW w:w="5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8"/>
              </w:rPr>
              <w:t>0.60x</w:t>
            </w:r>
          </w:p>
        </w:tc>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- 0.60x (0.60x)</w:t>
            </w:r>
          </w:p>
        </w:tc>
      </w:tr>
      <w:tr>
        <w:trPr>
          <w:trHeight w:val="243"/>
        </w:trPr>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88,444</w:t>
            </w:r>
          </w:p>
        </w:tc>
        <w:tc>
          <w:tcPr>
            <w:tcW w:w="100" w:type="dxa"/>
            <w:vAlign w:val="bottom"/>
          </w:tcPr>
          <w:p>
            <w:pPr>
              <w:spacing w:after="0"/>
              <w:rPr>
                <w:sz w:val="21"/>
                <w:szCs w:val="21"/>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approach</w:t>
            </w: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 Price</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57720" cy="1797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179705"/>
                    </a:xfrm>
                    <a:prstGeom prst="rect">
                      <a:avLst/>
                    </a:prstGeom>
                    <a:noFill/>
                  </pic:spPr>
                </pic:pic>
              </a:graphicData>
            </a:graphic>
          </wp:anchor>
        </w:drawing>
      </w:r>
    </w:p>
    <w:p>
      <w:pPr>
        <w:ind w:left="3347" w:hanging="1092"/>
        <w:spacing w:after="0"/>
        <w:tabs>
          <w:tab w:leader="none" w:pos="334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236,891</w:t>
      </w:r>
    </w:p>
    <w:p>
      <w:pPr>
        <w:spacing w:after="0" w:line="16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is calculated based on the fair value of investments.</w:t>
      </w:r>
    </w:p>
    <w:p>
      <w:pPr>
        <w:spacing w:after="0" w:line="27" w:lineRule="exact"/>
        <w:rPr>
          <w:rFonts w:ascii="Times New Roman" w:cs="Times New Roman" w:eastAsia="Times New Roman" w:hAnsi="Times New Roman"/>
          <w:sz w:val="18"/>
          <w:szCs w:val="18"/>
          <w:color w:val="auto"/>
        </w:rPr>
      </w:pPr>
    </w:p>
    <w:p>
      <w:pPr>
        <w:ind w:left="367" w:right="320" w:hanging="367"/>
        <w:spacing w:after="0" w:line="255" w:lineRule="auto"/>
        <w:tabs>
          <w:tab w:leader="none" w:pos="3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flows utilized in the discounted cash flow calculations assume: (i) liquidation of (a) certain distressed investments and (b) all investments currently in default held by the issuing CLO at their current market prices; and (ii) redeployment of proceeds at the issuing CLO’s assumed reinvestment rate.</w:t>
      </w:r>
    </w:p>
    <w:p>
      <w:pPr>
        <w:spacing w:after="0" w:line="18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760" w:right="318" w:bottom="1440" w:gutter="0" w:footer="0" w:header="0"/>
        </w:sectPr>
      </w:pPr>
    </w:p>
    <w:bookmarkStart w:id="36" w:name="page37"/>
    <w:bookmarkEnd w:id="36"/>
    <w:p>
      <w:pPr>
        <w:ind w:left="7"/>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54" w:lineRule="exact"/>
        <w:rPr>
          <w:sz w:val="20"/>
          <w:szCs w:val="20"/>
          <w:color w:val="auto"/>
        </w:rPr>
      </w:pPr>
    </w:p>
    <w:tbl>
      <w:tblPr>
        <w:tblLayout w:type="fixed"/>
        <w:tblInd w:w="7"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0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0" w:type="dxa"/>
            <w:vAlign w:val="bottom"/>
          </w:tcPr>
          <w:p>
            <w:pPr>
              <w:spacing w:after="0"/>
              <w:rPr>
                <w:sz w:val="1"/>
                <w:szCs w:val="1"/>
                <w:color w:val="auto"/>
              </w:rPr>
            </w:pPr>
          </w:p>
        </w:tc>
      </w:tr>
      <w:tr>
        <w:trPr>
          <w:trHeight w:val="258"/>
        </w:trPr>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2"/>
                <w:szCs w:val="22"/>
                <w:color w:val="auto"/>
              </w:rPr>
            </w:pPr>
          </w:p>
        </w:tc>
        <w:tc>
          <w:tcPr>
            <w:tcW w:w="2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120" w:type="dxa"/>
            <w:vAlign w:val="bottom"/>
          </w:tcPr>
          <w:p>
            <w:pPr>
              <w:spacing w:after="0"/>
              <w:rPr>
                <w:sz w:val="22"/>
                <w:szCs w:val="22"/>
                <w:color w:val="auto"/>
              </w:rPr>
            </w:pPr>
          </w:p>
        </w:tc>
        <w:tc>
          <w:tcPr>
            <w:tcW w:w="2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ind w:left="20"/>
              <w:spacing w:after="0" w:line="258" w:lineRule="exact"/>
              <w:rPr>
                <w:sz w:val="20"/>
                <w:szCs w:val="20"/>
                <w:color w:val="auto"/>
              </w:rPr>
            </w:pPr>
            <w:r>
              <w:rPr>
                <w:rFonts w:ascii="Times New Roman" w:cs="Times New Roman" w:eastAsia="Times New Roman" w:hAnsi="Times New Roman"/>
                <w:sz w:val="18"/>
                <w:szCs w:val="18"/>
                <w:b w:val="1"/>
                <w:bCs w:val="1"/>
                <w:color w:val="auto"/>
              </w:rPr>
              <w:t>(Weighted average)</w:t>
            </w:r>
            <w:r>
              <w:rPr>
                <w:rFonts w:ascii="Times New Roman" w:cs="Times New Roman" w:eastAsia="Times New Roman" w:hAnsi="Times New Roman"/>
                <w:sz w:val="24"/>
                <w:szCs w:val="24"/>
                <w:b w:val="1"/>
                <w:bCs w:val="1"/>
                <w:color w:val="auto"/>
                <w:vertAlign w:val="superscript"/>
              </w:rPr>
              <w:t>(1)</w:t>
            </w:r>
          </w:p>
        </w:tc>
        <w:tc>
          <w:tcPr>
            <w:tcW w:w="0" w:type="dxa"/>
            <w:vAlign w:val="bottom"/>
          </w:tcPr>
          <w:p>
            <w:pPr>
              <w:spacing w:after="0"/>
              <w:rPr>
                <w:sz w:val="1"/>
                <w:szCs w:val="1"/>
                <w:color w:val="auto"/>
              </w:rPr>
            </w:pPr>
          </w:p>
        </w:tc>
      </w:tr>
      <w:tr>
        <w:trPr>
          <w:trHeight w:val="223"/>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Debt investments:</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lien</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115,014</w:t>
            </w:r>
          </w:p>
        </w:tc>
        <w:tc>
          <w:tcPr>
            <w:tcW w:w="10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Discount rates</w:t>
            </w:r>
          </w:p>
        </w:tc>
        <w:tc>
          <w:tcPr>
            <w:tcW w:w="2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8.61% - 37.50% (12.77%)</w:t>
            </w:r>
          </w:p>
        </w:tc>
        <w:tc>
          <w:tcPr>
            <w:tcW w:w="0" w:type="dxa"/>
            <w:vAlign w:val="bottom"/>
          </w:tcPr>
          <w:p>
            <w:pPr>
              <w:spacing w:after="0"/>
              <w:rPr>
                <w:sz w:val="1"/>
                <w:szCs w:val="1"/>
                <w:color w:val="auto"/>
              </w:rPr>
            </w:pPr>
          </w:p>
        </w:tc>
      </w:tr>
      <w:tr>
        <w:trPr>
          <w:trHeight w:val="230"/>
        </w:trPr>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21,925</w:t>
            </w:r>
          </w:p>
        </w:tc>
        <w:tc>
          <w:tcPr>
            <w:tcW w:w="10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21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EBITDA multiples</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3.00x</w:t>
            </w: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- 8.00x (6.11x)</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8,225</w:t>
            </w:r>
          </w:p>
        </w:tc>
        <w:tc>
          <w:tcPr>
            <w:tcW w:w="10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Revenue multiples</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0.35x</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- 0.50x (0.35x)</w:t>
            </w:r>
          </w:p>
        </w:tc>
        <w:tc>
          <w:tcPr>
            <w:tcW w:w="0" w:type="dxa"/>
            <w:vAlign w:val="bottom"/>
          </w:tcPr>
          <w:p>
            <w:pPr>
              <w:spacing w:after="0"/>
              <w:rPr>
                <w:sz w:val="1"/>
                <w:szCs w:val="1"/>
                <w:color w:val="auto"/>
              </w:rPr>
            </w:pPr>
          </w:p>
        </w:tc>
      </w:tr>
      <w:tr>
        <w:trPr>
          <w:trHeight w:val="229"/>
        </w:trPr>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10,432</w:t>
            </w:r>
          </w:p>
        </w:tc>
        <w:tc>
          <w:tcPr>
            <w:tcW w:w="10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21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Price</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lien</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Discount rates</w:t>
            </w:r>
          </w:p>
        </w:tc>
        <w:tc>
          <w:tcPr>
            <w:tcW w:w="2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13.70% - 13.70% (13.70%)</w:t>
            </w:r>
          </w:p>
        </w:tc>
        <w:tc>
          <w:tcPr>
            <w:tcW w:w="0" w:type="dxa"/>
            <w:vAlign w:val="bottom"/>
          </w:tcPr>
          <w:p>
            <w:pPr>
              <w:spacing w:after="0"/>
              <w:rPr>
                <w:sz w:val="1"/>
                <w:szCs w:val="1"/>
                <w:color w:val="auto"/>
              </w:rPr>
            </w:pPr>
          </w:p>
        </w:tc>
      </w:tr>
      <w:tr>
        <w:trPr>
          <w:trHeight w:val="229"/>
        </w:trPr>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21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EBITDA multiples</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9.00x</w:t>
            </w: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- 9.00x (9.00x)</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6,461</w:t>
            </w:r>
          </w:p>
        </w:tc>
        <w:tc>
          <w:tcPr>
            <w:tcW w:w="10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Revenue multiples</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0.35x</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- 0.90x (0.70x)</w:t>
            </w:r>
          </w:p>
        </w:tc>
        <w:tc>
          <w:tcPr>
            <w:tcW w:w="0" w:type="dxa"/>
            <w:vAlign w:val="bottom"/>
          </w:tcPr>
          <w:p>
            <w:pPr>
              <w:spacing w:after="0"/>
              <w:rPr>
                <w:sz w:val="1"/>
                <w:szCs w:val="1"/>
                <w:color w:val="auto"/>
              </w:rPr>
            </w:pPr>
          </w:p>
        </w:tc>
      </w:tr>
      <w:tr>
        <w:trPr>
          <w:trHeight w:val="229"/>
        </w:trPr>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Structured Finance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FF0FC"/>
          </w:tcPr>
          <w:p>
            <w:pPr>
              <w:ind w:left="20"/>
              <w:spacing w:after="0" w:line="229" w:lineRule="exact"/>
              <w:rPr>
                <w:sz w:val="20"/>
                <w:szCs w:val="20"/>
                <w:color w:val="auto"/>
              </w:rPr>
            </w:pPr>
            <w:r>
              <w:rPr>
                <w:rFonts w:ascii="Times New Roman" w:cs="Times New Roman" w:eastAsia="Times New Roman" w:hAnsi="Times New Roman"/>
                <w:sz w:val="18"/>
                <w:szCs w:val="18"/>
                <w:color w:val="auto"/>
              </w:rPr>
              <w:t>Subordinated notes</w:t>
            </w:r>
            <w:r>
              <w:rPr>
                <w:rFonts w:ascii="Times New Roman" w:cs="Times New Roman" w:eastAsia="Times New Roman" w:hAnsi="Times New Roman"/>
                <w:sz w:val="24"/>
                <w:szCs w:val="24"/>
                <w:color w:val="auto"/>
                <w:vertAlign w:val="superscript"/>
              </w:rPr>
              <w:t>(2)</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53,368</w:t>
            </w:r>
          </w:p>
        </w:tc>
        <w:tc>
          <w:tcPr>
            <w:tcW w:w="10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21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Discount rates</w:t>
            </w:r>
          </w:p>
        </w:tc>
        <w:tc>
          <w:tcPr>
            <w:tcW w:w="264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13.00% - 27.50% (18.73%)</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Constant default rate</w:t>
            </w:r>
          </w:p>
        </w:tc>
        <w:tc>
          <w:tcPr>
            <w:tcW w:w="2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2.00% - 3.00% (2.08%)</w:t>
            </w:r>
          </w:p>
        </w:tc>
        <w:tc>
          <w:tcPr>
            <w:tcW w:w="0" w:type="dxa"/>
            <w:vAlign w:val="bottom"/>
          </w:tcPr>
          <w:p>
            <w:pPr>
              <w:spacing w:after="0"/>
              <w:rPr>
                <w:sz w:val="1"/>
                <w:szCs w:val="1"/>
                <w:color w:val="auto"/>
              </w:rPr>
            </w:pPr>
          </w:p>
        </w:tc>
      </w:tr>
      <w:tr>
        <w:trPr>
          <w:trHeight w:val="230"/>
        </w:trPr>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21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Recovery rate</w:t>
            </w:r>
          </w:p>
        </w:tc>
        <w:tc>
          <w:tcPr>
            <w:tcW w:w="264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65.00% - 65.00% (65.00%)</w:t>
            </w:r>
          </w:p>
        </w:tc>
        <w:tc>
          <w:tcPr>
            <w:tcW w:w="0" w:type="dxa"/>
            <w:vAlign w:val="bottom"/>
          </w:tcPr>
          <w:p>
            <w:pPr>
              <w:spacing w:after="0"/>
              <w:rPr>
                <w:sz w:val="1"/>
                <w:szCs w:val="1"/>
                <w:color w:val="auto"/>
              </w:rPr>
            </w:pPr>
          </w:p>
        </w:tc>
      </w:tr>
      <w:tr>
        <w:trPr>
          <w:trHeight w:val="243"/>
        </w:trPr>
        <w:tc>
          <w:tcPr>
            <w:tcW w:w="21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Mezzanine debt</w:t>
            </w:r>
            <w:r>
              <w:rPr>
                <w:rFonts w:ascii="Times New Roman" w:cs="Times New Roman" w:eastAsia="Times New Roman" w:hAnsi="Times New Roman"/>
                <w:sz w:val="24"/>
                <w:szCs w:val="24"/>
                <w:color w:val="auto"/>
                <w:vertAlign w:val="superscript"/>
              </w:rPr>
              <w:t>(2)</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8,074</w:t>
            </w:r>
          </w:p>
        </w:tc>
        <w:tc>
          <w:tcPr>
            <w:tcW w:w="100" w:type="dxa"/>
            <w:vAlign w:val="bottom"/>
          </w:tcPr>
          <w:p>
            <w:pPr>
              <w:spacing w:after="0"/>
              <w:rPr>
                <w:sz w:val="21"/>
                <w:szCs w:val="2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Discount margin</w:t>
            </w:r>
          </w:p>
        </w:tc>
        <w:tc>
          <w:tcPr>
            <w:tcW w:w="2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9.10% - 10.70% (9.62%)</w:t>
            </w:r>
          </w:p>
        </w:tc>
        <w:tc>
          <w:tcPr>
            <w:tcW w:w="0" w:type="dxa"/>
            <w:vAlign w:val="bottom"/>
          </w:tcPr>
          <w:p>
            <w:pPr>
              <w:spacing w:after="0"/>
              <w:rPr>
                <w:sz w:val="1"/>
                <w:szCs w:val="1"/>
                <w:color w:val="auto"/>
              </w:rPr>
            </w:pPr>
          </w:p>
        </w:tc>
      </w:tr>
      <w:tr>
        <w:trPr>
          <w:trHeight w:val="216"/>
        </w:trPr>
        <w:tc>
          <w:tcPr>
            <w:tcW w:w="2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Constant default rate</w:t>
            </w:r>
          </w:p>
        </w:tc>
        <w:tc>
          <w:tcPr>
            <w:tcW w:w="264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2.00% - 2.00% (2.00%)</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Recovery rate</w:t>
            </w:r>
          </w:p>
        </w:tc>
        <w:tc>
          <w:tcPr>
            <w:tcW w:w="2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65.00% - 65.00% (65.00%)</w:t>
            </w:r>
          </w:p>
        </w:tc>
        <w:tc>
          <w:tcPr>
            <w:tcW w:w="0" w:type="dxa"/>
            <w:vAlign w:val="bottom"/>
          </w:tcPr>
          <w:p>
            <w:pPr>
              <w:spacing w:after="0"/>
              <w:rPr>
                <w:sz w:val="1"/>
                <w:szCs w:val="1"/>
                <w:color w:val="auto"/>
              </w:rPr>
            </w:pPr>
          </w:p>
        </w:tc>
      </w:tr>
      <w:tr>
        <w:trPr>
          <w:trHeight w:val="191"/>
        </w:trPr>
        <w:tc>
          <w:tcPr>
            <w:tcW w:w="2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40" w:type="dxa"/>
            <w:vAlign w:val="bottom"/>
            <w:shd w:val="clear" w:color="auto" w:fill="CFF0FC"/>
          </w:tcPr>
          <w:p>
            <w:pPr>
              <w:spacing w:after="0"/>
              <w:rPr>
                <w:sz w:val="16"/>
                <w:szCs w:val="16"/>
                <w:color w:val="auto"/>
              </w:rPr>
            </w:pPr>
          </w:p>
        </w:tc>
        <w:tc>
          <w:tcPr>
            <w:tcW w:w="2140" w:type="dxa"/>
            <w:vAlign w:val="bottom"/>
            <w:gridSpan w:val="2"/>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Net asset value</w:t>
            </w: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Subordinated notes</w:t>
            </w:r>
          </w:p>
        </w:tc>
        <w:tc>
          <w:tcPr>
            <w:tcW w:w="3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FF0FC"/>
          </w:tcPr>
          <w:p>
            <w:pPr>
              <w:spacing w:after="0"/>
              <w:rPr>
                <w:sz w:val="23"/>
                <w:szCs w:val="23"/>
                <w:color w:val="auto"/>
              </w:rPr>
            </w:pPr>
          </w:p>
        </w:tc>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2140" w:type="dxa"/>
            <w:vAlign w:val="bottom"/>
            <w:gridSpan w:val="2"/>
            <w:shd w:val="clear" w:color="auto" w:fill="CFF0FC"/>
          </w:tcPr>
          <w:p>
            <w:pPr>
              <w:ind w:left="120"/>
              <w:spacing w:after="0" w:line="267" w:lineRule="exact"/>
              <w:rPr>
                <w:sz w:val="20"/>
                <w:szCs w:val="20"/>
                <w:color w:val="auto"/>
              </w:rPr>
            </w:pPr>
            <w:r>
              <w:rPr>
                <w:rFonts w:ascii="Times New Roman" w:cs="Times New Roman" w:eastAsia="Times New Roman" w:hAnsi="Times New Roman"/>
                <w:sz w:val="18"/>
                <w:szCs w:val="18"/>
                <w:color w:val="auto"/>
              </w:rPr>
              <w:t>liquidation</w:t>
            </w:r>
            <w:r>
              <w:rPr>
                <w:rFonts w:ascii="Times New Roman" w:cs="Times New Roman" w:eastAsia="Times New Roman" w:hAnsi="Times New Roman"/>
                <w:sz w:val="24"/>
                <w:szCs w:val="24"/>
                <w:color w:val="auto"/>
                <w:vertAlign w:val="superscript"/>
              </w:rPr>
              <w:t>(3)</w:t>
            </w:r>
          </w:p>
        </w:tc>
        <w:tc>
          <w:tcPr>
            <w:tcW w:w="100" w:type="dxa"/>
            <w:vAlign w:val="bottom"/>
            <w:shd w:val="clear" w:color="auto" w:fill="CFF0FC"/>
          </w:tcPr>
          <w:p>
            <w:pPr>
              <w:spacing w:after="0"/>
              <w:rPr>
                <w:sz w:val="23"/>
                <w:szCs w:val="23"/>
                <w:color w:val="auto"/>
              </w:rPr>
            </w:pPr>
          </w:p>
        </w:tc>
        <w:tc>
          <w:tcPr>
            <w:tcW w:w="440" w:type="dxa"/>
            <w:vAlign w:val="bottom"/>
            <w:shd w:val="clear" w:color="auto" w:fill="CFF0FC"/>
          </w:tcPr>
          <w:p>
            <w:pPr>
              <w:spacing w:after="0"/>
              <w:rPr>
                <w:sz w:val="23"/>
                <w:szCs w:val="23"/>
                <w:color w:val="auto"/>
              </w:rPr>
            </w:pPr>
          </w:p>
        </w:tc>
        <w:tc>
          <w:tcPr>
            <w:tcW w:w="2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equity</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12,448</w:t>
            </w:r>
          </w:p>
        </w:tc>
        <w:tc>
          <w:tcPr>
            <w:tcW w:w="10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EBITDA multiples</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7.25x</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- 8.50x (8.46x)</w:t>
            </w:r>
          </w:p>
        </w:tc>
        <w:tc>
          <w:tcPr>
            <w:tcW w:w="0" w:type="dxa"/>
            <w:vAlign w:val="bottom"/>
          </w:tcPr>
          <w:p>
            <w:pPr>
              <w:spacing w:after="0"/>
              <w:rPr>
                <w:sz w:val="1"/>
                <w:szCs w:val="1"/>
                <w:color w:val="auto"/>
              </w:rPr>
            </w:pPr>
          </w:p>
        </w:tc>
      </w:tr>
      <w:tr>
        <w:trPr>
          <w:trHeight w:val="229"/>
        </w:trPr>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21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Revenue multiples</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0.50x</w:t>
            </w: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- 0.50x (0.50x)</w:t>
            </w:r>
          </w:p>
        </w:tc>
        <w:tc>
          <w:tcPr>
            <w:tcW w:w="0" w:type="dxa"/>
            <w:vAlign w:val="bottom"/>
          </w:tcPr>
          <w:p>
            <w:pPr>
              <w:spacing w:after="0"/>
              <w:rPr>
                <w:sz w:val="1"/>
                <w:szCs w:val="1"/>
                <w:color w:val="auto"/>
              </w:rPr>
            </w:pPr>
          </w:p>
        </w:tc>
      </w:tr>
      <w:tr>
        <w:trPr>
          <w:trHeight w:val="211"/>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equity, warrants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other</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88,029</w:t>
            </w:r>
          </w:p>
        </w:tc>
        <w:tc>
          <w:tcPr>
            <w:tcW w:w="10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EBITDA multiples</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6.00x</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- 14.75x (12.33x)</w:t>
            </w:r>
          </w:p>
        </w:tc>
        <w:tc>
          <w:tcPr>
            <w:tcW w:w="0" w:type="dxa"/>
            <w:vAlign w:val="bottom"/>
          </w:tcPr>
          <w:p>
            <w:pPr>
              <w:spacing w:after="0"/>
              <w:rPr>
                <w:sz w:val="1"/>
                <w:szCs w:val="1"/>
                <w:color w:val="auto"/>
              </w:rPr>
            </w:pPr>
          </w:p>
        </w:tc>
      </w:tr>
      <w:tr>
        <w:trPr>
          <w:trHeight w:val="216"/>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equity, warrants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other</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Revenue multiples</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0.35x</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- 0.50x (0.44x)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-273685</wp:posOffset>
            </wp:positionV>
            <wp:extent cx="7157720" cy="2825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282575"/>
                    </a:xfrm>
                    <a:prstGeom prst="rect">
                      <a:avLst/>
                    </a:prstGeom>
                    <a:noFill/>
                  </pic:spPr>
                </pic:pic>
              </a:graphicData>
            </a:graphic>
          </wp:anchor>
        </w:drawing>
      </w:r>
    </w:p>
    <w:p>
      <w:pPr>
        <w:ind w:left="3627" w:hanging="1147"/>
        <w:spacing w:after="0"/>
        <w:tabs>
          <w:tab w:leader="none" w:pos="362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327,206  </w:t>
      </w:r>
      <w:r>
        <w:rPr>
          <w:rFonts w:ascii="Times New Roman" w:cs="Times New Roman" w:eastAsia="Times New Roman" w:hAnsi="Times New Roman"/>
          <w:sz w:val="1"/>
          <w:szCs w:val="1"/>
          <w:color w:val="auto"/>
        </w:rPr>
        <w:drawing>
          <wp:inline distT="0" distB="0" distL="0" distR="0">
            <wp:extent cx="68580" cy="14287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142875"/>
                    </a:xfrm>
                    <a:prstGeom prst="rect">
                      <a:avLst/>
                    </a:prstGeom>
                    <a:noFill/>
                    <a:ln>
                      <a:noFill/>
                    </a:ln>
                  </pic:spPr>
                </pic:pic>
              </a:graphicData>
            </a:graphic>
          </wp:inline>
        </w:drawing>
      </w:r>
    </w:p>
    <w:p>
      <w:pPr>
        <w:spacing w:after="0" w:line="109"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is calculated based on the fair value of investments.</w:t>
      </w:r>
    </w:p>
    <w:p>
      <w:pPr>
        <w:spacing w:after="0" w:line="27" w:lineRule="exact"/>
        <w:rPr>
          <w:rFonts w:ascii="Times New Roman" w:cs="Times New Roman" w:eastAsia="Times New Roman" w:hAnsi="Times New Roman"/>
          <w:sz w:val="18"/>
          <w:szCs w:val="18"/>
          <w:color w:val="auto"/>
        </w:rPr>
      </w:pPr>
    </w:p>
    <w:p>
      <w:pPr>
        <w:ind w:left="367" w:right="320" w:hanging="367"/>
        <w:spacing w:after="0" w:line="250" w:lineRule="auto"/>
        <w:tabs>
          <w:tab w:leader="none" w:pos="3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flows utilized in the discounted cash flow calculations assume: (i) liquidation of (a) certain distressed investments and (b) all investments currently in default held by the issuing CLO at their current market prices; and (ii) redeployment of proceeds at the issuing CLO’s assumed reinvestment rate.</w:t>
      </w:r>
    </w:p>
    <w:p>
      <w:pPr>
        <w:spacing w:after="0" w:line="1"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liquidation represents the fair value, or estimated expected residual value, of the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1577340</wp:posOffset>
            </wp:positionH>
            <wp:positionV relativeFrom="paragraph">
              <wp:posOffset>-782320</wp:posOffset>
            </wp:positionV>
            <wp:extent cx="118300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83005" cy="8890"/>
                    </a:xfrm>
                    <a:prstGeom prst="rect">
                      <a:avLst/>
                    </a:prstGeom>
                    <a:noFill/>
                  </pic:spPr>
                </pic:pic>
              </a:graphicData>
            </a:graphic>
          </wp:anchor>
        </w:drawing>
        <w:drawing>
          <wp:anchor simplePos="0" relativeHeight="251657728" behindDoc="1" locked="0" layoutInCell="0" allowOverlap="1">
            <wp:simplePos x="0" y="0"/>
            <wp:positionH relativeFrom="column">
              <wp:posOffset>1577340</wp:posOffset>
            </wp:positionH>
            <wp:positionV relativeFrom="paragraph">
              <wp:posOffset>-765175</wp:posOffset>
            </wp:positionV>
            <wp:extent cx="118300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79" w:lineRule="exact"/>
        <w:rPr>
          <w:sz w:val="20"/>
          <w:szCs w:val="20"/>
          <w:color w:val="auto"/>
        </w:rPr>
      </w:pPr>
    </w:p>
    <w:p>
      <w:pPr>
        <w:ind w:left="7" w:right="20"/>
        <w:spacing w:after="0" w:line="255" w:lineRule="auto"/>
        <w:rPr>
          <w:sz w:val="20"/>
          <w:szCs w:val="20"/>
          <w:color w:val="auto"/>
        </w:rPr>
      </w:pPr>
      <w:r>
        <w:rPr>
          <w:rFonts w:ascii="Times New Roman" w:cs="Times New Roman" w:eastAsia="Times New Roman" w:hAnsi="Times New Roman"/>
          <w:sz w:val="18"/>
          <w:szCs w:val="18"/>
          <w:color w:val="auto"/>
        </w:rPr>
        <w:t>Changes in market credit spreads or events impacting the credit quality of the underlying portfolio company (both of which could impact the discount rate), as well as changes in enterprise value and/or EBITDA multiples, among other things, could have a significant impact on fair values, with the fair value of a particular debt investment susceptible to change in inverse relation to the changes in the discount rate. Changes in enterprise value and/or EBITDA multiples, as well as changes in the discount rate, could have a significant impact on fair values, with the fair value of an equity investment susceptible to change in tandem with the changes in enterprise value and/or EBITDA multiples, and in inverse relation to changes in the discount rate. Due to the wide range of approaches in developing input assumptions to these valuation techniques and the degree of subjectivity used in making the estimates, comparisons between the Company’s disclosures and those of other companies may not be meaningful.</w:t>
      </w:r>
    </w:p>
    <w:p>
      <w:pPr>
        <w:spacing w:after="0" w:line="18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760" w:right="318"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changes in investments measured at fair value using Level 3 inputs for the nine months ended September 30, 2026 and 2025: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1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10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97"/>
        </w:trPr>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4"/>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First Lien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Second Lien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Structured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7"/>
              </w:rPr>
              <w:t>Debt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Debt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Finance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5"/>
        </w:trPr>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gridSpan w:val="5"/>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Level 3 assets, December 31, 2025</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4"/>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155,596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9,409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12,567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88,029</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61,605</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327,206</w:t>
            </w:r>
          </w:p>
        </w:tc>
      </w:tr>
      <w:tr>
        <w:trPr>
          <w:trHeight w:val="21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loss on investments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(4,722)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(24,001)</w:t>
            </w:r>
          </w:p>
        </w:tc>
      </w:tr>
      <w:tr>
        <w:trPr>
          <w:trHeight w:val="219"/>
        </w:trPr>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unrealized appreciation (depreciation) on investments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8,921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2,549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5,291</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(5,984)</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5,004</w:t>
            </w:r>
          </w:p>
        </w:tc>
      </w:tr>
      <w:tr>
        <w:trPr>
          <w:trHeight w:val="21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Net Loan Fees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w w:val="99"/>
              </w:rPr>
              <w:t>371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379</w:t>
            </w:r>
          </w:p>
        </w:tc>
      </w:tr>
      <w:tr>
        <w:trPr>
          <w:trHeight w:val="205"/>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Accretion of interest income on Structured Finance</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Securities</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6,185</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6,185</w:t>
            </w:r>
          </w:p>
        </w:tc>
      </w:tr>
      <w:tr>
        <w:trPr>
          <w:trHeight w:val="21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Capitalized PIK interest and dividends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w w:val="99"/>
              </w:rPr>
              <w:t>427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1,702</w:t>
            </w:r>
          </w:p>
        </w:tc>
      </w:tr>
      <w:tr>
        <w:trPr>
          <w:trHeight w:val="219"/>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Amendment fees received</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Purchase and origination of portfolio investments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color w:val="auto"/>
              </w:rPr>
              <w:t>4,469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4,469</w:t>
            </w:r>
          </w:p>
        </w:tc>
      </w:tr>
      <w:tr>
        <w:trPr>
          <w:trHeight w:val="191"/>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principal payments on portfolio</w:t>
            </w: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investments</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(46,336)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(48,564)</w:t>
            </w:r>
          </w:p>
        </w:tc>
      </w:tr>
      <w:tr>
        <w:trPr>
          <w:trHeight w:val="21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Sale and redemption of portfolio investments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(14,642)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(28,000)</w:t>
            </w:r>
          </w:p>
        </w:tc>
      </w:tr>
      <w:tr>
        <w:trPr>
          <w:trHeight w:val="219"/>
        </w:trPr>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Conversion from debt investments to equity investments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(8,892)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752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8,140</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distributions received from portfolio</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3"/>
        </w:trPr>
        <w:tc>
          <w:tcPr>
            <w:tcW w:w="3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investments</w:t>
            </w:r>
          </w:p>
        </w:tc>
        <w:tc>
          <w:tcPr>
            <w:tcW w:w="3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(7,444)</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(7,444)</w:t>
            </w:r>
          </w:p>
        </w:tc>
      </w:tr>
      <w:tr>
        <w:trPr>
          <w:trHeight w:val="250"/>
        </w:trPr>
        <w:tc>
          <w:tcPr>
            <w:tcW w:w="3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Level 3 assets, September 30, 2026</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gridSpan w:val="4"/>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93,035</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2,854</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17,134</w:t>
            </w: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96,738</w:t>
            </w:r>
          </w:p>
        </w:tc>
        <w:tc>
          <w:tcPr>
            <w:tcW w:w="4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27,130</w:t>
            </w:r>
          </w:p>
        </w:tc>
        <w:tc>
          <w:tcPr>
            <w:tcW w:w="4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236,891</w:t>
            </w:r>
          </w:p>
        </w:tc>
      </w:tr>
      <w:tr>
        <w:trPr>
          <w:trHeight w:val="345"/>
        </w:trPr>
        <w:tc>
          <w:tcPr>
            <w:tcW w:w="3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97"/>
        </w:trPr>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First Lien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Second Lien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Structured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3"/>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w w:val="97"/>
              </w:rPr>
              <w:t>Debt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Debt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w w:val="95"/>
              </w:rPr>
              <w:t>Preferred</w:t>
            </w:r>
          </w:p>
        </w:tc>
        <w:tc>
          <w:tcPr>
            <w:tcW w:w="100" w:type="dxa"/>
            <w:vAlign w:val="bottom"/>
          </w:tcPr>
          <w:p>
            <w:pPr>
              <w:spacing w:after="0"/>
              <w:rPr>
                <w:sz w:val="17"/>
                <w:szCs w:val="17"/>
                <w:color w:val="auto"/>
              </w:rPr>
            </w:pPr>
          </w:p>
        </w:tc>
        <w:tc>
          <w:tcPr>
            <w:tcW w:w="116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5"/>
        </w:trPr>
        <w:tc>
          <w:tcPr>
            <w:tcW w:w="3500" w:type="dxa"/>
            <w:vAlign w:val="bottom"/>
          </w:tcPr>
          <w:p>
            <w:pPr>
              <w:spacing w:after="0"/>
              <w:rPr>
                <w:sz w:val="18"/>
                <w:szCs w:val="18"/>
                <w:color w:val="auto"/>
              </w:rPr>
            </w:pP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4"/>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8"/>
                <w:szCs w:val="18"/>
                <w:color w:val="auto"/>
              </w:rPr>
            </w:pPr>
          </w:p>
        </w:tc>
        <w:tc>
          <w:tcPr>
            <w:tcW w:w="116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and Other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3500" w:type="dxa"/>
            <w:vAlign w:val="bottom"/>
            <w:shd w:val="clear" w:color="auto" w:fill="C1E5F5"/>
          </w:tcPr>
          <w:p>
            <w:pPr>
              <w:spacing w:after="0"/>
              <w:rPr>
                <w:sz w:val="20"/>
                <w:szCs w:val="20"/>
                <w:color w:val="auto"/>
              </w:rPr>
            </w:pPr>
            <w:r>
              <w:rPr>
                <w:rFonts w:ascii="Times New Roman" w:cs="Times New Roman" w:eastAsia="Times New Roman" w:hAnsi="Times New Roman"/>
                <w:sz w:val="16"/>
                <w:szCs w:val="16"/>
                <w:color w:val="auto"/>
              </w:rPr>
              <w:t>Level 3 assets, December 31, 2024</w:t>
            </w:r>
          </w:p>
        </w:tc>
        <w:tc>
          <w:tcPr>
            <w:tcW w:w="320" w:type="dxa"/>
            <w:vAlign w:val="bottom"/>
            <w:tcBorders>
              <w:top w:val="single" w:sz="8" w:color="auto"/>
            </w:tcBorders>
            <w:shd w:val="clear" w:color="auto" w:fill="C1E5F5"/>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1E5F5"/>
          </w:tcPr>
          <w:p>
            <w:pPr>
              <w:spacing w:after="0"/>
              <w:rPr>
                <w:sz w:val="18"/>
                <w:szCs w:val="18"/>
                <w:color w:val="auto"/>
              </w:rPr>
            </w:pPr>
          </w:p>
        </w:tc>
        <w:tc>
          <w:tcPr>
            <w:tcW w:w="100" w:type="dxa"/>
            <w:vAlign w:val="bottom"/>
            <w:tcBorders>
              <w:top w:val="single" w:sz="8" w:color="auto"/>
            </w:tcBorders>
            <w:shd w:val="clear" w:color="auto" w:fill="C1E5F5"/>
          </w:tcPr>
          <w:p>
            <w:pPr>
              <w:spacing w:after="0"/>
              <w:rPr>
                <w:sz w:val="18"/>
                <w:szCs w:val="18"/>
                <w:color w:val="auto"/>
              </w:rPr>
            </w:pPr>
          </w:p>
        </w:tc>
        <w:tc>
          <w:tcPr>
            <w:tcW w:w="620" w:type="dxa"/>
            <w:vAlign w:val="bottom"/>
            <w:tcBorders>
              <w:top w:val="single" w:sz="8" w:color="auto"/>
            </w:tcBorders>
            <w:shd w:val="clear" w:color="auto" w:fill="C1E5F5"/>
          </w:tcPr>
          <w:p>
            <w:pPr>
              <w:jc w:val="right"/>
              <w:ind w:right="19"/>
              <w:spacing w:after="0"/>
              <w:rPr>
                <w:sz w:val="20"/>
                <w:szCs w:val="20"/>
                <w:color w:val="auto"/>
              </w:rPr>
            </w:pPr>
            <w:r>
              <w:rPr>
                <w:rFonts w:ascii="Times New Roman" w:cs="Times New Roman" w:eastAsia="Times New Roman" w:hAnsi="Times New Roman"/>
                <w:sz w:val="16"/>
                <w:szCs w:val="16"/>
                <w:color w:val="auto"/>
                <w:w w:val="96"/>
              </w:rPr>
              <w:t>168,037</w:t>
            </w:r>
          </w:p>
        </w:tc>
        <w:tc>
          <w:tcPr>
            <w:tcW w:w="40" w:type="dxa"/>
            <w:vAlign w:val="bottom"/>
            <w:tcBorders>
              <w:top w:val="single" w:sz="8" w:color="auto"/>
            </w:tcBorders>
            <w:shd w:val="clear" w:color="auto" w:fill="C1E5F5"/>
          </w:tcPr>
          <w:p>
            <w:pPr>
              <w:spacing w:after="0"/>
              <w:rPr>
                <w:sz w:val="18"/>
                <w:szCs w:val="18"/>
                <w:color w:val="auto"/>
              </w:rPr>
            </w:pPr>
          </w:p>
        </w:tc>
        <w:tc>
          <w:tcPr>
            <w:tcW w:w="120" w:type="dxa"/>
            <w:vAlign w:val="bottom"/>
            <w:shd w:val="clear" w:color="auto" w:fill="C1E5F5"/>
          </w:tcPr>
          <w:p>
            <w:pPr>
              <w:spacing w:after="0"/>
              <w:rPr>
                <w:sz w:val="18"/>
                <w:szCs w:val="18"/>
                <w:color w:val="auto"/>
              </w:rPr>
            </w:pPr>
          </w:p>
        </w:tc>
        <w:tc>
          <w:tcPr>
            <w:tcW w:w="220" w:type="dxa"/>
            <w:vAlign w:val="bottom"/>
            <w:tcBorders>
              <w:top w:val="single" w:sz="8" w:color="auto"/>
            </w:tcBorders>
            <w:shd w:val="clear" w:color="auto" w:fill="C1E5F5"/>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1E5F5"/>
          </w:tcPr>
          <w:p>
            <w:pPr>
              <w:spacing w:after="0"/>
              <w:rPr>
                <w:sz w:val="18"/>
                <w:szCs w:val="18"/>
                <w:color w:val="auto"/>
              </w:rPr>
            </w:pPr>
          </w:p>
        </w:tc>
        <w:tc>
          <w:tcPr>
            <w:tcW w:w="80" w:type="dxa"/>
            <w:vAlign w:val="bottom"/>
            <w:tcBorders>
              <w:top w:val="single" w:sz="8" w:color="auto"/>
            </w:tcBorders>
            <w:shd w:val="clear" w:color="auto" w:fill="C1E5F5"/>
          </w:tcPr>
          <w:p>
            <w:pPr>
              <w:spacing w:after="0"/>
              <w:rPr>
                <w:sz w:val="18"/>
                <w:szCs w:val="18"/>
                <w:color w:val="auto"/>
              </w:rPr>
            </w:pPr>
          </w:p>
        </w:tc>
        <w:tc>
          <w:tcPr>
            <w:tcW w:w="760" w:type="dxa"/>
            <w:vAlign w:val="bottom"/>
            <w:tcBorders>
              <w:top w:val="single" w:sz="8" w:color="auto"/>
            </w:tcBorders>
            <w:shd w:val="clear" w:color="auto" w:fill="C1E5F5"/>
          </w:tcPr>
          <w:p>
            <w:pPr>
              <w:jc w:val="right"/>
              <w:ind w:right="39"/>
              <w:spacing w:after="0"/>
              <w:rPr>
                <w:sz w:val="20"/>
                <w:szCs w:val="20"/>
                <w:color w:val="auto"/>
              </w:rPr>
            </w:pPr>
            <w:r>
              <w:rPr>
                <w:rFonts w:ascii="Times New Roman" w:cs="Times New Roman" w:eastAsia="Times New Roman" w:hAnsi="Times New Roman"/>
                <w:sz w:val="16"/>
                <w:szCs w:val="16"/>
                <w:color w:val="auto"/>
              </w:rPr>
              <w:t>34,331</w:t>
            </w:r>
          </w:p>
        </w:tc>
        <w:tc>
          <w:tcPr>
            <w:tcW w:w="120" w:type="dxa"/>
            <w:vAlign w:val="bottom"/>
            <w:shd w:val="clear" w:color="auto" w:fill="C1E5F5"/>
          </w:tcPr>
          <w:p>
            <w:pPr>
              <w:spacing w:after="0"/>
              <w:rPr>
                <w:sz w:val="18"/>
                <w:szCs w:val="18"/>
                <w:color w:val="auto"/>
              </w:rPr>
            </w:pPr>
          </w:p>
        </w:tc>
        <w:tc>
          <w:tcPr>
            <w:tcW w:w="200" w:type="dxa"/>
            <w:vAlign w:val="bottom"/>
            <w:tcBorders>
              <w:top w:val="single" w:sz="8" w:color="auto"/>
            </w:tcBorders>
            <w:shd w:val="clear" w:color="auto" w:fill="C1E5F5"/>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1E5F5"/>
          </w:tcPr>
          <w:p>
            <w:pPr>
              <w:spacing w:after="0"/>
              <w:rPr>
                <w:sz w:val="18"/>
                <w:szCs w:val="18"/>
                <w:color w:val="auto"/>
              </w:rPr>
            </w:pPr>
          </w:p>
        </w:tc>
        <w:tc>
          <w:tcPr>
            <w:tcW w:w="100" w:type="dxa"/>
            <w:vAlign w:val="bottom"/>
            <w:tcBorders>
              <w:top w:val="single" w:sz="8" w:color="auto"/>
            </w:tcBorders>
            <w:shd w:val="clear" w:color="auto" w:fill="C1E5F5"/>
          </w:tcPr>
          <w:p>
            <w:pPr>
              <w:spacing w:after="0"/>
              <w:rPr>
                <w:sz w:val="18"/>
                <w:szCs w:val="18"/>
                <w:color w:val="auto"/>
              </w:rPr>
            </w:pPr>
          </w:p>
        </w:tc>
        <w:tc>
          <w:tcPr>
            <w:tcW w:w="760" w:type="dxa"/>
            <w:vAlign w:val="bottom"/>
            <w:tcBorders>
              <w:top w:val="single" w:sz="8" w:color="auto"/>
            </w:tcBorders>
            <w:shd w:val="clear" w:color="auto" w:fill="C1E5F5"/>
          </w:tcPr>
          <w:p>
            <w:pPr>
              <w:jc w:val="right"/>
              <w:ind w:right="39"/>
              <w:spacing w:after="0"/>
              <w:rPr>
                <w:sz w:val="20"/>
                <w:szCs w:val="20"/>
                <w:color w:val="auto"/>
              </w:rPr>
            </w:pPr>
            <w:r>
              <w:rPr>
                <w:rFonts w:ascii="Times New Roman" w:cs="Times New Roman" w:eastAsia="Times New Roman" w:hAnsi="Times New Roman"/>
                <w:sz w:val="16"/>
                <w:szCs w:val="16"/>
                <w:color w:val="auto"/>
              </w:rPr>
              <w:t>12,248</w:t>
            </w:r>
          </w:p>
        </w:tc>
        <w:tc>
          <w:tcPr>
            <w:tcW w:w="120" w:type="dxa"/>
            <w:vAlign w:val="bottom"/>
            <w:shd w:val="clear" w:color="auto" w:fill="C1E5F5"/>
          </w:tcPr>
          <w:p>
            <w:pPr>
              <w:spacing w:after="0"/>
              <w:rPr>
                <w:sz w:val="18"/>
                <w:szCs w:val="18"/>
                <w:color w:val="auto"/>
              </w:rPr>
            </w:pPr>
          </w:p>
        </w:tc>
        <w:tc>
          <w:tcPr>
            <w:tcW w:w="100" w:type="dxa"/>
            <w:vAlign w:val="bottom"/>
            <w:tcBorders>
              <w:top w:val="single" w:sz="8" w:color="auto"/>
            </w:tcBorders>
            <w:shd w:val="clear" w:color="auto" w:fill="C1E5F5"/>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1E5F5"/>
          </w:tcPr>
          <w:p>
            <w:pPr>
              <w:spacing w:after="0"/>
              <w:rPr>
                <w:sz w:val="18"/>
                <w:szCs w:val="18"/>
                <w:color w:val="auto"/>
              </w:rPr>
            </w:pPr>
          </w:p>
        </w:tc>
        <w:tc>
          <w:tcPr>
            <w:tcW w:w="100" w:type="dxa"/>
            <w:vAlign w:val="bottom"/>
            <w:tcBorders>
              <w:top w:val="single" w:sz="8" w:color="auto"/>
            </w:tcBorders>
            <w:shd w:val="clear" w:color="auto" w:fill="C1E5F5"/>
          </w:tcPr>
          <w:p>
            <w:pPr>
              <w:spacing w:after="0"/>
              <w:rPr>
                <w:sz w:val="18"/>
                <w:szCs w:val="18"/>
                <w:color w:val="auto"/>
              </w:rPr>
            </w:pPr>
          </w:p>
        </w:tc>
        <w:tc>
          <w:tcPr>
            <w:tcW w:w="820" w:type="dxa"/>
            <w:vAlign w:val="bottom"/>
            <w:tcBorders>
              <w:top w:val="single" w:sz="8" w:color="auto"/>
            </w:tcBorders>
            <w:shd w:val="clear" w:color="auto" w:fill="C1E5F5"/>
          </w:tcPr>
          <w:p>
            <w:pPr>
              <w:jc w:val="right"/>
              <w:ind w:right="39"/>
              <w:spacing w:after="0"/>
              <w:rPr>
                <w:sz w:val="20"/>
                <w:szCs w:val="20"/>
                <w:color w:val="auto"/>
              </w:rPr>
            </w:pPr>
            <w:r>
              <w:rPr>
                <w:rFonts w:ascii="Times New Roman" w:cs="Times New Roman" w:eastAsia="Times New Roman" w:hAnsi="Times New Roman"/>
                <w:sz w:val="16"/>
                <w:szCs w:val="16"/>
                <w:color w:val="auto"/>
              </w:rPr>
              <w:t>96,337</w:t>
            </w:r>
          </w:p>
        </w:tc>
        <w:tc>
          <w:tcPr>
            <w:tcW w:w="120" w:type="dxa"/>
            <w:vAlign w:val="bottom"/>
            <w:shd w:val="clear" w:color="auto" w:fill="C1E5F5"/>
          </w:tcPr>
          <w:p>
            <w:pPr>
              <w:spacing w:after="0"/>
              <w:rPr>
                <w:sz w:val="18"/>
                <w:szCs w:val="18"/>
                <w:color w:val="auto"/>
              </w:rPr>
            </w:pPr>
          </w:p>
        </w:tc>
        <w:tc>
          <w:tcPr>
            <w:tcW w:w="120" w:type="dxa"/>
            <w:vAlign w:val="bottom"/>
            <w:tcBorders>
              <w:top w:val="single" w:sz="8" w:color="auto"/>
            </w:tcBorders>
            <w:gridSpan w:val="2"/>
            <w:shd w:val="clear" w:color="auto" w:fill="C1E5F5"/>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auto"/>
            </w:tcBorders>
            <w:shd w:val="clear" w:color="auto" w:fill="C1E5F5"/>
          </w:tcPr>
          <w:p>
            <w:pPr>
              <w:spacing w:after="0"/>
              <w:rPr>
                <w:sz w:val="18"/>
                <w:szCs w:val="18"/>
                <w:color w:val="auto"/>
              </w:rPr>
            </w:pPr>
          </w:p>
        </w:tc>
        <w:tc>
          <w:tcPr>
            <w:tcW w:w="100" w:type="dxa"/>
            <w:vAlign w:val="bottom"/>
            <w:tcBorders>
              <w:top w:val="single" w:sz="8" w:color="auto"/>
            </w:tcBorders>
            <w:shd w:val="clear" w:color="auto" w:fill="C1E5F5"/>
          </w:tcPr>
          <w:p>
            <w:pPr>
              <w:spacing w:after="0"/>
              <w:rPr>
                <w:sz w:val="18"/>
                <w:szCs w:val="18"/>
                <w:color w:val="auto"/>
              </w:rPr>
            </w:pPr>
          </w:p>
        </w:tc>
        <w:tc>
          <w:tcPr>
            <w:tcW w:w="1080" w:type="dxa"/>
            <w:vAlign w:val="bottom"/>
            <w:tcBorders>
              <w:top w:val="single" w:sz="8" w:color="auto"/>
            </w:tcBorders>
            <w:shd w:val="clear" w:color="auto" w:fill="C1E5F5"/>
          </w:tcPr>
          <w:p>
            <w:pPr>
              <w:jc w:val="right"/>
              <w:ind w:right="59"/>
              <w:spacing w:after="0"/>
              <w:rPr>
                <w:sz w:val="20"/>
                <w:szCs w:val="20"/>
                <w:color w:val="auto"/>
              </w:rPr>
            </w:pPr>
            <w:r>
              <w:rPr>
                <w:rFonts w:ascii="Times New Roman" w:cs="Times New Roman" w:eastAsia="Times New Roman" w:hAnsi="Times New Roman"/>
                <w:sz w:val="16"/>
                <w:szCs w:val="16"/>
                <w:color w:val="auto"/>
              </w:rPr>
              <w:t>76,875</w:t>
            </w:r>
          </w:p>
        </w:tc>
        <w:tc>
          <w:tcPr>
            <w:tcW w:w="40" w:type="dxa"/>
            <w:vAlign w:val="bottom"/>
            <w:shd w:val="clear" w:color="auto" w:fill="C1E5F5"/>
          </w:tcPr>
          <w:p>
            <w:pPr>
              <w:spacing w:after="0"/>
              <w:rPr>
                <w:sz w:val="18"/>
                <w:szCs w:val="18"/>
                <w:color w:val="auto"/>
              </w:rPr>
            </w:pPr>
          </w:p>
        </w:tc>
        <w:tc>
          <w:tcPr>
            <w:tcW w:w="80" w:type="dxa"/>
            <w:vAlign w:val="bottom"/>
            <w:shd w:val="clear" w:color="auto" w:fill="C1E5F5"/>
          </w:tcPr>
          <w:p>
            <w:pPr>
              <w:spacing w:after="0"/>
              <w:rPr>
                <w:sz w:val="18"/>
                <w:szCs w:val="18"/>
                <w:color w:val="auto"/>
              </w:rPr>
            </w:pPr>
          </w:p>
        </w:tc>
        <w:tc>
          <w:tcPr>
            <w:tcW w:w="220" w:type="dxa"/>
            <w:vAlign w:val="bottom"/>
            <w:tcBorders>
              <w:top w:val="single" w:sz="8" w:color="auto"/>
            </w:tcBorders>
            <w:gridSpan w:val="2"/>
            <w:shd w:val="clear" w:color="auto" w:fill="C1E5F5"/>
          </w:tcPr>
          <w:p>
            <w:pPr>
              <w:jc w:val="right"/>
              <w:ind w:right="79"/>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1E5F5"/>
          </w:tcPr>
          <w:p>
            <w:pPr>
              <w:jc w:val="right"/>
              <w:ind w:right="39"/>
              <w:spacing w:after="0"/>
              <w:rPr>
                <w:sz w:val="20"/>
                <w:szCs w:val="20"/>
                <w:color w:val="auto"/>
              </w:rPr>
            </w:pPr>
            <w:r>
              <w:rPr>
                <w:rFonts w:ascii="Times New Roman" w:cs="Times New Roman" w:eastAsia="Times New Roman" w:hAnsi="Times New Roman"/>
                <w:sz w:val="16"/>
                <w:szCs w:val="16"/>
                <w:color w:val="auto"/>
              </w:rPr>
              <w:t>387,828</w:t>
            </w:r>
          </w:p>
        </w:tc>
      </w:tr>
      <w:tr>
        <w:trPr>
          <w:trHeight w:val="21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loss on investments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(10,414)</w:t>
            </w:r>
          </w:p>
        </w:tc>
      </w:tr>
      <w:tr>
        <w:trPr>
          <w:trHeight w:val="205"/>
        </w:trPr>
        <w:tc>
          <w:tcPr>
            <w:tcW w:w="3500" w:type="dxa"/>
            <w:vAlign w:val="bottom"/>
            <w:shd w:val="clear" w:color="auto" w:fill="C1E5F5"/>
          </w:tcPr>
          <w:p>
            <w:pPr>
              <w:spacing w:after="0"/>
              <w:rPr>
                <w:sz w:val="20"/>
                <w:szCs w:val="20"/>
                <w:color w:val="auto"/>
              </w:rPr>
            </w:pPr>
            <w:r>
              <w:rPr>
                <w:rFonts w:ascii="Times New Roman" w:cs="Times New Roman" w:eastAsia="Times New Roman" w:hAnsi="Times New Roman"/>
                <w:sz w:val="16"/>
                <w:szCs w:val="16"/>
                <w:color w:val="auto"/>
              </w:rPr>
              <w:t>Net unrealized appreciation (depreciation) on</w:t>
            </w:r>
          </w:p>
        </w:tc>
        <w:tc>
          <w:tcPr>
            <w:tcW w:w="32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100" w:type="dxa"/>
            <w:vAlign w:val="bottom"/>
            <w:shd w:val="clear" w:color="auto" w:fill="C1E5F5"/>
          </w:tcPr>
          <w:p>
            <w:pPr>
              <w:spacing w:after="0"/>
              <w:rPr>
                <w:sz w:val="17"/>
                <w:szCs w:val="17"/>
                <w:color w:val="auto"/>
              </w:rPr>
            </w:pPr>
          </w:p>
        </w:tc>
        <w:tc>
          <w:tcPr>
            <w:tcW w:w="620" w:type="dxa"/>
            <w:vAlign w:val="bottom"/>
            <w:shd w:val="clear" w:color="auto" w:fill="C1E5F5"/>
          </w:tcPr>
          <w:p>
            <w:pPr>
              <w:spacing w:after="0"/>
              <w:rPr>
                <w:sz w:val="17"/>
                <w:szCs w:val="17"/>
                <w:color w:val="auto"/>
              </w:rPr>
            </w:pPr>
          </w:p>
        </w:tc>
        <w:tc>
          <w:tcPr>
            <w:tcW w:w="4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22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80" w:type="dxa"/>
            <w:vAlign w:val="bottom"/>
            <w:shd w:val="clear" w:color="auto" w:fill="C1E5F5"/>
          </w:tcPr>
          <w:p>
            <w:pPr>
              <w:spacing w:after="0"/>
              <w:rPr>
                <w:sz w:val="17"/>
                <w:szCs w:val="17"/>
                <w:color w:val="auto"/>
              </w:rPr>
            </w:pPr>
          </w:p>
        </w:tc>
        <w:tc>
          <w:tcPr>
            <w:tcW w:w="76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20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100" w:type="dxa"/>
            <w:vAlign w:val="bottom"/>
            <w:shd w:val="clear" w:color="auto" w:fill="C1E5F5"/>
          </w:tcPr>
          <w:p>
            <w:pPr>
              <w:spacing w:after="0"/>
              <w:rPr>
                <w:sz w:val="17"/>
                <w:szCs w:val="17"/>
                <w:color w:val="auto"/>
              </w:rPr>
            </w:pPr>
          </w:p>
        </w:tc>
        <w:tc>
          <w:tcPr>
            <w:tcW w:w="76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10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100" w:type="dxa"/>
            <w:vAlign w:val="bottom"/>
            <w:shd w:val="clear" w:color="auto" w:fill="C1E5F5"/>
          </w:tcPr>
          <w:p>
            <w:pPr>
              <w:spacing w:after="0"/>
              <w:rPr>
                <w:sz w:val="17"/>
                <w:szCs w:val="17"/>
                <w:color w:val="auto"/>
              </w:rPr>
            </w:pPr>
          </w:p>
        </w:tc>
        <w:tc>
          <w:tcPr>
            <w:tcW w:w="82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40" w:type="dxa"/>
            <w:vAlign w:val="bottom"/>
            <w:shd w:val="clear" w:color="auto" w:fill="C1E5F5"/>
          </w:tcPr>
          <w:p>
            <w:pPr>
              <w:spacing w:after="0"/>
              <w:rPr>
                <w:sz w:val="17"/>
                <w:szCs w:val="17"/>
                <w:color w:val="auto"/>
              </w:rPr>
            </w:pPr>
          </w:p>
        </w:tc>
        <w:tc>
          <w:tcPr>
            <w:tcW w:w="80" w:type="dxa"/>
            <w:vAlign w:val="bottom"/>
            <w:shd w:val="clear" w:color="auto" w:fill="C1E5F5"/>
          </w:tcPr>
          <w:p>
            <w:pPr>
              <w:spacing w:after="0"/>
              <w:rPr>
                <w:sz w:val="17"/>
                <w:szCs w:val="17"/>
                <w:color w:val="auto"/>
              </w:rPr>
            </w:pPr>
          </w:p>
        </w:tc>
        <w:tc>
          <w:tcPr>
            <w:tcW w:w="40" w:type="dxa"/>
            <w:vAlign w:val="bottom"/>
            <w:shd w:val="clear" w:color="auto" w:fill="C1E5F5"/>
          </w:tcPr>
          <w:p>
            <w:pPr>
              <w:spacing w:after="0"/>
              <w:rPr>
                <w:sz w:val="17"/>
                <w:szCs w:val="17"/>
                <w:color w:val="auto"/>
              </w:rPr>
            </w:pPr>
          </w:p>
        </w:tc>
        <w:tc>
          <w:tcPr>
            <w:tcW w:w="100" w:type="dxa"/>
            <w:vAlign w:val="bottom"/>
            <w:shd w:val="clear" w:color="auto" w:fill="C1E5F5"/>
          </w:tcPr>
          <w:p>
            <w:pPr>
              <w:spacing w:after="0"/>
              <w:rPr>
                <w:sz w:val="17"/>
                <w:szCs w:val="17"/>
                <w:color w:val="auto"/>
              </w:rPr>
            </w:pPr>
          </w:p>
        </w:tc>
        <w:tc>
          <w:tcPr>
            <w:tcW w:w="1080" w:type="dxa"/>
            <w:vAlign w:val="bottom"/>
            <w:shd w:val="clear" w:color="auto" w:fill="C1E5F5"/>
          </w:tcPr>
          <w:p>
            <w:pPr>
              <w:spacing w:after="0"/>
              <w:rPr>
                <w:sz w:val="17"/>
                <w:szCs w:val="17"/>
                <w:color w:val="auto"/>
              </w:rPr>
            </w:pPr>
          </w:p>
        </w:tc>
        <w:tc>
          <w:tcPr>
            <w:tcW w:w="40" w:type="dxa"/>
            <w:vAlign w:val="bottom"/>
            <w:shd w:val="clear" w:color="auto" w:fill="C1E5F5"/>
          </w:tcPr>
          <w:p>
            <w:pPr>
              <w:spacing w:after="0"/>
              <w:rPr>
                <w:sz w:val="17"/>
                <w:szCs w:val="17"/>
                <w:color w:val="auto"/>
              </w:rPr>
            </w:pPr>
          </w:p>
        </w:tc>
        <w:tc>
          <w:tcPr>
            <w:tcW w:w="80" w:type="dxa"/>
            <w:vAlign w:val="bottom"/>
            <w:shd w:val="clear" w:color="auto" w:fill="C1E5F5"/>
          </w:tcPr>
          <w:p>
            <w:pPr>
              <w:spacing w:after="0"/>
              <w:rPr>
                <w:sz w:val="17"/>
                <w:szCs w:val="17"/>
                <w:color w:val="auto"/>
              </w:rPr>
            </w:pPr>
          </w:p>
        </w:tc>
        <w:tc>
          <w:tcPr>
            <w:tcW w:w="40" w:type="dxa"/>
            <w:vAlign w:val="bottom"/>
            <w:shd w:val="clear" w:color="auto" w:fill="C1E5F5"/>
          </w:tcPr>
          <w:p>
            <w:pPr>
              <w:spacing w:after="0"/>
              <w:rPr>
                <w:sz w:val="17"/>
                <w:szCs w:val="17"/>
                <w:color w:val="auto"/>
              </w:rPr>
            </w:pPr>
          </w:p>
        </w:tc>
        <w:tc>
          <w:tcPr>
            <w:tcW w:w="180" w:type="dxa"/>
            <w:vAlign w:val="bottom"/>
            <w:shd w:val="clear" w:color="auto" w:fill="C1E5F5"/>
          </w:tcPr>
          <w:p>
            <w:pPr>
              <w:spacing w:after="0"/>
              <w:rPr>
                <w:sz w:val="17"/>
                <w:szCs w:val="17"/>
                <w:color w:val="auto"/>
              </w:rPr>
            </w:pPr>
          </w:p>
        </w:tc>
        <w:tc>
          <w:tcPr>
            <w:tcW w:w="900" w:type="dxa"/>
            <w:vAlign w:val="bottom"/>
            <w:shd w:val="clear" w:color="auto" w:fill="C1E5F5"/>
          </w:tcPr>
          <w:p>
            <w:pPr>
              <w:spacing w:after="0"/>
              <w:rPr>
                <w:sz w:val="17"/>
                <w:szCs w:val="17"/>
                <w:color w:val="auto"/>
              </w:rPr>
            </w:pPr>
          </w:p>
        </w:tc>
      </w:tr>
      <w:tr>
        <w:trPr>
          <w:trHeight w:val="216"/>
        </w:trPr>
        <w:tc>
          <w:tcPr>
            <w:tcW w:w="3500" w:type="dxa"/>
            <w:vAlign w:val="bottom"/>
            <w:shd w:val="clear" w:color="auto" w:fill="C1E5F5"/>
          </w:tcPr>
          <w:p>
            <w:pPr>
              <w:spacing w:after="0"/>
              <w:rPr>
                <w:sz w:val="20"/>
                <w:szCs w:val="20"/>
                <w:color w:val="auto"/>
              </w:rPr>
            </w:pPr>
            <w:r>
              <w:rPr>
                <w:rFonts w:ascii="Times New Roman" w:cs="Times New Roman" w:eastAsia="Times New Roman" w:hAnsi="Times New Roman"/>
                <w:sz w:val="16"/>
                <w:szCs w:val="16"/>
                <w:color w:val="auto"/>
              </w:rPr>
              <w:t>investments</w:t>
            </w:r>
          </w:p>
        </w:tc>
        <w:tc>
          <w:tcPr>
            <w:tcW w:w="320" w:type="dxa"/>
            <w:vAlign w:val="bottom"/>
            <w:shd w:val="clear" w:color="auto" w:fill="C1E5F5"/>
          </w:tcPr>
          <w:p>
            <w:pPr>
              <w:spacing w:after="0"/>
              <w:rPr>
                <w:sz w:val="18"/>
                <w:szCs w:val="18"/>
                <w:color w:val="auto"/>
              </w:rPr>
            </w:pPr>
          </w:p>
        </w:tc>
        <w:tc>
          <w:tcPr>
            <w:tcW w:w="120" w:type="dxa"/>
            <w:vAlign w:val="bottom"/>
            <w:shd w:val="clear" w:color="auto" w:fill="C1E5F5"/>
          </w:tcPr>
          <w:p>
            <w:pPr>
              <w:spacing w:after="0"/>
              <w:rPr>
                <w:sz w:val="18"/>
                <w:szCs w:val="18"/>
                <w:color w:val="auto"/>
              </w:rPr>
            </w:pPr>
          </w:p>
        </w:tc>
        <w:tc>
          <w:tcPr>
            <w:tcW w:w="100" w:type="dxa"/>
            <w:vAlign w:val="bottom"/>
            <w:shd w:val="clear" w:color="auto" w:fill="C1E5F5"/>
          </w:tcPr>
          <w:p>
            <w:pPr>
              <w:spacing w:after="0"/>
              <w:rPr>
                <w:sz w:val="18"/>
                <w:szCs w:val="18"/>
                <w:color w:val="auto"/>
              </w:rPr>
            </w:pPr>
          </w:p>
        </w:tc>
        <w:tc>
          <w:tcPr>
            <w:tcW w:w="620" w:type="dxa"/>
            <w:vAlign w:val="bottom"/>
            <w:shd w:val="clear" w:color="auto" w:fill="C1E5F5"/>
          </w:tcPr>
          <w:p>
            <w:pPr>
              <w:jc w:val="right"/>
              <w:spacing w:after="0"/>
              <w:rPr>
                <w:sz w:val="20"/>
                <w:szCs w:val="20"/>
                <w:color w:val="auto"/>
              </w:rPr>
            </w:pPr>
            <w:r>
              <w:rPr>
                <w:rFonts w:ascii="Times New Roman" w:cs="Times New Roman" w:eastAsia="Times New Roman" w:hAnsi="Times New Roman"/>
                <w:sz w:val="16"/>
                <w:szCs w:val="16"/>
                <w:color w:val="auto"/>
              </w:rPr>
              <w:t>(2,847)</w:t>
            </w:r>
          </w:p>
        </w:tc>
        <w:tc>
          <w:tcPr>
            <w:tcW w:w="40" w:type="dxa"/>
            <w:vAlign w:val="bottom"/>
            <w:shd w:val="clear" w:color="auto" w:fill="C1E5F5"/>
          </w:tcPr>
          <w:p>
            <w:pPr>
              <w:spacing w:after="0"/>
              <w:rPr>
                <w:sz w:val="18"/>
                <w:szCs w:val="18"/>
                <w:color w:val="auto"/>
              </w:rPr>
            </w:pPr>
          </w:p>
        </w:tc>
        <w:tc>
          <w:tcPr>
            <w:tcW w:w="120" w:type="dxa"/>
            <w:vAlign w:val="bottom"/>
            <w:shd w:val="clear" w:color="auto" w:fill="C1E5F5"/>
          </w:tcPr>
          <w:p>
            <w:pPr>
              <w:spacing w:after="0"/>
              <w:rPr>
                <w:sz w:val="18"/>
                <w:szCs w:val="18"/>
                <w:color w:val="auto"/>
              </w:rPr>
            </w:pPr>
          </w:p>
        </w:tc>
        <w:tc>
          <w:tcPr>
            <w:tcW w:w="220" w:type="dxa"/>
            <w:vAlign w:val="bottom"/>
            <w:shd w:val="clear" w:color="auto" w:fill="C1E5F5"/>
          </w:tcPr>
          <w:p>
            <w:pPr>
              <w:spacing w:after="0"/>
              <w:rPr>
                <w:sz w:val="18"/>
                <w:szCs w:val="18"/>
                <w:color w:val="auto"/>
              </w:rPr>
            </w:pPr>
          </w:p>
        </w:tc>
        <w:tc>
          <w:tcPr>
            <w:tcW w:w="120" w:type="dxa"/>
            <w:vAlign w:val="bottom"/>
            <w:shd w:val="clear" w:color="auto" w:fill="C1E5F5"/>
          </w:tcPr>
          <w:p>
            <w:pPr>
              <w:spacing w:after="0"/>
              <w:rPr>
                <w:sz w:val="18"/>
                <w:szCs w:val="18"/>
                <w:color w:val="auto"/>
              </w:rPr>
            </w:pPr>
          </w:p>
        </w:tc>
        <w:tc>
          <w:tcPr>
            <w:tcW w:w="80" w:type="dxa"/>
            <w:vAlign w:val="bottom"/>
            <w:shd w:val="clear" w:color="auto" w:fill="C1E5F5"/>
          </w:tcPr>
          <w:p>
            <w:pPr>
              <w:spacing w:after="0"/>
              <w:rPr>
                <w:sz w:val="18"/>
                <w:szCs w:val="18"/>
                <w:color w:val="auto"/>
              </w:rPr>
            </w:pPr>
          </w:p>
        </w:tc>
        <w:tc>
          <w:tcPr>
            <w:tcW w:w="760" w:type="dxa"/>
            <w:vAlign w:val="bottom"/>
            <w:shd w:val="clear" w:color="auto" w:fill="C1E5F5"/>
          </w:tcPr>
          <w:p>
            <w:pPr>
              <w:jc w:val="right"/>
              <w:ind w:right="39"/>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shd w:val="clear" w:color="auto" w:fill="C1E5F5"/>
          </w:tcPr>
          <w:p>
            <w:pPr>
              <w:spacing w:after="0"/>
              <w:rPr>
                <w:sz w:val="18"/>
                <w:szCs w:val="18"/>
                <w:color w:val="auto"/>
              </w:rPr>
            </w:pPr>
          </w:p>
        </w:tc>
        <w:tc>
          <w:tcPr>
            <w:tcW w:w="200" w:type="dxa"/>
            <w:vAlign w:val="bottom"/>
            <w:shd w:val="clear" w:color="auto" w:fill="C1E5F5"/>
          </w:tcPr>
          <w:p>
            <w:pPr>
              <w:spacing w:after="0"/>
              <w:rPr>
                <w:sz w:val="18"/>
                <w:szCs w:val="18"/>
                <w:color w:val="auto"/>
              </w:rPr>
            </w:pPr>
          </w:p>
        </w:tc>
        <w:tc>
          <w:tcPr>
            <w:tcW w:w="120" w:type="dxa"/>
            <w:vAlign w:val="bottom"/>
            <w:shd w:val="clear" w:color="auto" w:fill="C1E5F5"/>
          </w:tcPr>
          <w:p>
            <w:pPr>
              <w:spacing w:after="0"/>
              <w:rPr>
                <w:sz w:val="18"/>
                <w:szCs w:val="18"/>
                <w:color w:val="auto"/>
              </w:rPr>
            </w:pPr>
          </w:p>
        </w:tc>
        <w:tc>
          <w:tcPr>
            <w:tcW w:w="100" w:type="dxa"/>
            <w:vAlign w:val="bottom"/>
            <w:shd w:val="clear" w:color="auto" w:fill="C1E5F5"/>
          </w:tcPr>
          <w:p>
            <w:pPr>
              <w:spacing w:after="0"/>
              <w:rPr>
                <w:sz w:val="18"/>
                <w:szCs w:val="18"/>
                <w:color w:val="auto"/>
              </w:rPr>
            </w:pPr>
          </w:p>
        </w:tc>
        <w:tc>
          <w:tcPr>
            <w:tcW w:w="760" w:type="dxa"/>
            <w:vAlign w:val="bottom"/>
            <w:shd w:val="clear" w:color="auto" w:fill="C1E5F5"/>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120" w:type="dxa"/>
            <w:vAlign w:val="bottom"/>
            <w:shd w:val="clear" w:color="auto" w:fill="C1E5F5"/>
          </w:tcPr>
          <w:p>
            <w:pPr>
              <w:spacing w:after="0"/>
              <w:rPr>
                <w:sz w:val="18"/>
                <w:szCs w:val="18"/>
                <w:color w:val="auto"/>
              </w:rPr>
            </w:pPr>
          </w:p>
        </w:tc>
        <w:tc>
          <w:tcPr>
            <w:tcW w:w="100" w:type="dxa"/>
            <w:vAlign w:val="bottom"/>
            <w:shd w:val="clear" w:color="auto" w:fill="C1E5F5"/>
          </w:tcPr>
          <w:p>
            <w:pPr>
              <w:spacing w:after="0"/>
              <w:rPr>
                <w:sz w:val="18"/>
                <w:szCs w:val="18"/>
                <w:color w:val="auto"/>
              </w:rPr>
            </w:pPr>
          </w:p>
        </w:tc>
        <w:tc>
          <w:tcPr>
            <w:tcW w:w="120" w:type="dxa"/>
            <w:vAlign w:val="bottom"/>
            <w:shd w:val="clear" w:color="auto" w:fill="C1E5F5"/>
          </w:tcPr>
          <w:p>
            <w:pPr>
              <w:spacing w:after="0"/>
              <w:rPr>
                <w:sz w:val="18"/>
                <w:szCs w:val="18"/>
                <w:color w:val="auto"/>
              </w:rPr>
            </w:pPr>
          </w:p>
        </w:tc>
        <w:tc>
          <w:tcPr>
            <w:tcW w:w="100" w:type="dxa"/>
            <w:vAlign w:val="bottom"/>
            <w:shd w:val="clear" w:color="auto" w:fill="C1E5F5"/>
          </w:tcPr>
          <w:p>
            <w:pPr>
              <w:spacing w:after="0"/>
              <w:rPr>
                <w:sz w:val="18"/>
                <w:szCs w:val="18"/>
                <w:color w:val="auto"/>
              </w:rPr>
            </w:pPr>
          </w:p>
        </w:tc>
        <w:tc>
          <w:tcPr>
            <w:tcW w:w="820" w:type="dxa"/>
            <w:vAlign w:val="bottom"/>
            <w:shd w:val="clear" w:color="auto" w:fill="C1E5F5"/>
          </w:tcPr>
          <w:p>
            <w:pPr>
              <w:jc w:val="right"/>
              <w:spacing w:after="0"/>
              <w:rPr>
                <w:sz w:val="20"/>
                <w:szCs w:val="20"/>
                <w:color w:val="auto"/>
              </w:rPr>
            </w:pPr>
            <w:r>
              <w:rPr>
                <w:rFonts w:ascii="Times New Roman" w:cs="Times New Roman" w:eastAsia="Times New Roman" w:hAnsi="Times New Roman"/>
                <w:sz w:val="16"/>
                <w:szCs w:val="16"/>
                <w:color w:val="auto"/>
              </w:rPr>
              <w:t>(13,896)</w:t>
            </w:r>
          </w:p>
        </w:tc>
        <w:tc>
          <w:tcPr>
            <w:tcW w:w="120" w:type="dxa"/>
            <w:vAlign w:val="bottom"/>
            <w:shd w:val="clear" w:color="auto" w:fill="C1E5F5"/>
          </w:tcPr>
          <w:p>
            <w:pPr>
              <w:spacing w:after="0"/>
              <w:rPr>
                <w:sz w:val="18"/>
                <w:szCs w:val="18"/>
                <w:color w:val="auto"/>
              </w:rPr>
            </w:pPr>
          </w:p>
        </w:tc>
        <w:tc>
          <w:tcPr>
            <w:tcW w:w="40" w:type="dxa"/>
            <w:vAlign w:val="bottom"/>
            <w:shd w:val="clear" w:color="auto" w:fill="C1E5F5"/>
          </w:tcPr>
          <w:p>
            <w:pPr>
              <w:spacing w:after="0"/>
              <w:rPr>
                <w:sz w:val="18"/>
                <w:szCs w:val="18"/>
                <w:color w:val="auto"/>
              </w:rPr>
            </w:pPr>
          </w:p>
        </w:tc>
        <w:tc>
          <w:tcPr>
            <w:tcW w:w="80" w:type="dxa"/>
            <w:vAlign w:val="bottom"/>
            <w:shd w:val="clear" w:color="auto" w:fill="C1E5F5"/>
          </w:tcPr>
          <w:p>
            <w:pPr>
              <w:spacing w:after="0"/>
              <w:rPr>
                <w:sz w:val="18"/>
                <w:szCs w:val="18"/>
                <w:color w:val="auto"/>
              </w:rPr>
            </w:pPr>
          </w:p>
        </w:tc>
        <w:tc>
          <w:tcPr>
            <w:tcW w:w="40" w:type="dxa"/>
            <w:vAlign w:val="bottom"/>
            <w:shd w:val="clear" w:color="auto" w:fill="C1E5F5"/>
          </w:tcPr>
          <w:p>
            <w:pPr>
              <w:spacing w:after="0"/>
              <w:rPr>
                <w:sz w:val="18"/>
                <w:szCs w:val="18"/>
                <w:color w:val="auto"/>
              </w:rPr>
            </w:pPr>
          </w:p>
        </w:tc>
        <w:tc>
          <w:tcPr>
            <w:tcW w:w="100" w:type="dxa"/>
            <w:vAlign w:val="bottom"/>
            <w:shd w:val="clear" w:color="auto" w:fill="C1E5F5"/>
          </w:tcPr>
          <w:p>
            <w:pPr>
              <w:spacing w:after="0"/>
              <w:rPr>
                <w:sz w:val="18"/>
                <w:szCs w:val="18"/>
                <w:color w:val="auto"/>
              </w:rPr>
            </w:pPr>
          </w:p>
        </w:tc>
        <w:tc>
          <w:tcPr>
            <w:tcW w:w="1080" w:type="dxa"/>
            <w:vAlign w:val="bottom"/>
            <w:shd w:val="clear" w:color="auto" w:fill="C1E5F5"/>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40" w:type="dxa"/>
            <w:vAlign w:val="bottom"/>
            <w:shd w:val="clear" w:color="auto" w:fill="C1E5F5"/>
          </w:tcPr>
          <w:p>
            <w:pPr>
              <w:spacing w:after="0"/>
              <w:rPr>
                <w:sz w:val="18"/>
                <w:szCs w:val="18"/>
                <w:color w:val="auto"/>
              </w:rPr>
            </w:pPr>
          </w:p>
        </w:tc>
        <w:tc>
          <w:tcPr>
            <w:tcW w:w="80" w:type="dxa"/>
            <w:vAlign w:val="bottom"/>
            <w:shd w:val="clear" w:color="auto" w:fill="C1E5F5"/>
          </w:tcPr>
          <w:p>
            <w:pPr>
              <w:spacing w:after="0"/>
              <w:rPr>
                <w:sz w:val="18"/>
                <w:szCs w:val="18"/>
                <w:color w:val="auto"/>
              </w:rPr>
            </w:pPr>
          </w:p>
        </w:tc>
        <w:tc>
          <w:tcPr>
            <w:tcW w:w="40" w:type="dxa"/>
            <w:vAlign w:val="bottom"/>
            <w:shd w:val="clear" w:color="auto" w:fill="C1E5F5"/>
          </w:tcPr>
          <w:p>
            <w:pPr>
              <w:spacing w:after="0"/>
              <w:rPr>
                <w:sz w:val="18"/>
                <w:szCs w:val="18"/>
                <w:color w:val="auto"/>
              </w:rPr>
            </w:pPr>
          </w:p>
        </w:tc>
        <w:tc>
          <w:tcPr>
            <w:tcW w:w="180" w:type="dxa"/>
            <w:vAlign w:val="bottom"/>
            <w:shd w:val="clear" w:color="auto" w:fill="C1E5F5"/>
          </w:tcPr>
          <w:p>
            <w:pPr>
              <w:spacing w:after="0"/>
              <w:rPr>
                <w:sz w:val="18"/>
                <w:szCs w:val="18"/>
                <w:color w:val="auto"/>
              </w:rPr>
            </w:pPr>
          </w:p>
        </w:tc>
        <w:tc>
          <w:tcPr>
            <w:tcW w:w="900" w:type="dxa"/>
            <w:vAlign w:val="bottom"/>
            <w:shd w:val="clear" w:color="auto" w:fill="C1E5F5"/>
          </w:tcPr>
          <w:p>
            <w:pPr>
              <w:jc w:val="right"/>
              <w:spacing w:after="0"/>
              <w:rPr>
                <w:sz w:val="20"/>
                <w:szCs w:val="20"/>
                <w:color w:val="auto"/>
              </w:rPr>
            </w:pPr>
            <w:r>
              <w:rPr>
                <w:rFonts w:ascii="Times New Roman" w:cs="Times New Roman" w:eastAsia="Times New Roman" w:hAnsi="Times New Roman"/>
                <w:sz w:val="16"/>
                <w:szCs w:val="16"/>
                <w:color w:val="auto"/>
              </w:rPr>
              <w:t>(19,586)</w:t>
            </w:r>
          </w:p>
        </w:tc>
      </w:tr>
      <w:tr>
        <w:trPr>
          <w:trHeight w:val="21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Net Loan Fees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641</w:t>
            </w:r>
          </w:p>
        </w:tc>
      </w:tr>
      <w:tr>
        <w:trPr>
          <w:trHeight w:val="205"/>
        </w:trPr>
        <w:tc>
          <w:tcPr>
            <w:tcW w:w="3500" w:type="dxa"/>
            <w:vAlign w:val="bottom"/>
            <w:shd w:val="clear" w:color="auto" w:fill="C1E5F5"/>
          </w:tcPr>
          <w:p>
            <w:pPr>
              <w:spacing w:after="0"/>
              <w:rPr>
                <w:sz w:val="20"/>
                <w:szCs w:val="20"/>
                <w:color w:val="auto"/>
              </w:rPr>
            </w:pPr>
            <w:r>
              <w:rPr>
                <w:rFonts w:ascii="Times New Roman" w:cs="Times New Roman" w:eastAsia="Times New Roman" w:hAnsi="Times New Roman"/>
                <w:sz w:val="16"/>
                <w:szCs w:val="16"/>
                <w:color w:val="auto"/>
              </w:rPr>
              <w:t>Accretion of interest income on Structured Finance</w:t>
            </w:r>
          </w:p>
        </w:tc>
        <w:tc>
          <w:tcPr>
            <w:tcW w:w="32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100" w:type="dxa"/>
            <w:vAlign w:val="bottom"/>
            <w:shd w:val="clear" w:color="auto" w:fill="C1E5F5"/>
          </w:tcPr>
          <w:p>
            <w:pPr>
              <w:spacing w:after="0"/>
              <w:rPr>
                <w:sz w:val="17"/>
                <w:szCs w:val="17"/>
                <w:color w:val="auto"/>
              </w:rPr>
            </w:pPr>
          </w:p>
        </w:tc>
        <w:tc>
          <w:tcPr>
            <w:tcW w:w="620" w:type="dxa"/>
            <w:vAlign w:val="bottom"/>
            <w:shd w:val="clear" w:color="auto" w:fill="C1E5F5"/>
          </w:tcPr>
          <w:p>
            <w:pPr>
              <w:spacing w:after="0"/>
              <w:rPr>
                <w:sz w:val="17"/>
                <w:szCs w:val="17"/>
                <w:color w:val="auto"/>
              </w:rPr>
            </w:pPr>
          </w:p>
        </w:tc>
        <w:tc>
          <w:tcPr>
            <w:tcW w:w="4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22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80" w:type="dxa"/>
            <w:vAlign w:val="bottom"/>
            <w:shd w:val="clear" w:color="auto" w:fill="C1E5F5"/>
          </w:tcPr>
          <w:p>
            <w:pPr>
              <w:spacing w:after="0"/>
              <w:rPr>
                <w:sz w:val="17"/>
                <w:szCs w:val="17"/>
                <w:color w:val="auto"/>
              </w:rPr>
            </w:pPr>
          </w:p>
        </w:tc>
        <w:tc>
          <w:tcPr>
            <w:tcW w:w="76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20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100" w:type="dxa"/>
            <w:vAlign w:val="bottom"/>
            <w:shd w:val="clear" w:color="auto" w:fill="C1E5F5"/>
          </w:tcPr>
          <w:p>
            <w:pPr>
              <w:spacing w:after="0"/>
              <w:rPr>
                <w:sz w:val="17"/>
                <w:szCs w:val="17"/>
                <w:color w:val="auto"/>
              </w:rPr>
            </w:pPr>
          </w:p>
        </w:tc>
        <w:tc>
          <w:tcPr>
            <w:tcW w:w="76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10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100" w:type="dxa"/>
            <w:vAlign w:val="bottom"/>
            <w:shd w:val="clear" w:color="auto" w:fill="C1E5F5"/>
          </w:tcPr>
          <w:p>
            <w:pPr>
              <w:spacing w:after="0"/>
              <w:rPr>
                <w:sz w:val="17"/>
                <w:szCs w:val="17"/>
                <w:color w:val="auto"/>
              </w:rPr>
            </w:pPr>
          </w:p>
        </w:tc>
        <w:tc>
          <w:tcPr>
            <w:tcW w:w="82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40" w:type="dxa"/>
            <w:vAlign w:val="bottom"/>
            <w:shd w:val="clear" w:color="auto" w:fill="C1E5F5"/>
          </w:tcPr>
          <w:p>
            <w:pPr>
              <w:spacing w:after="0"/>
              <w:rPr>
                <w:sz w:val="17"/>
                <w:szCs w:val="17"/>
                <w:color w:val="auto"/>
              </w:rPr>
            </w:pPr>
          </w:p>
        </w:tc>
        <w:tc>
          <w:tcPr>
            <w:tcW w:w="80" w:type="dxa"/>
            <w:vAlign w:val="bottom"/>
            <w:shd w:val="clear" w:color="auto" w:fill="C1E5F5"/>
          </w:tcPr>
          <w:p>
            <w:pPr>
              <w:spacing w:after="0"/>
              <w:rPr>
                <w:sz w:val="17"/>
                <w:szCs w:val="17"/>
                <w:color w:val="auto"/>
              </w:rPr>
            </w:pPr>
          </w:p>
        </w:tc>
        <w:tc>
          <w:tcPr>
            <w:tcW w:w="40" w:type="dxa"/>
            <w:vAlign w:val="bottom"/>
            <w:shd w:val="clear" w:color="auto" w:fill="C1E5F5"/>
          </w:tcPr>
          <w:p>
            <w:pPr>
              <w:spacing w:after="0"/>
              <w:rPr>
                <w:sz w:val="17"/>
                <w:szCs w:val="17"/>
                <w:color w:val="auto"/>
              </w:rPr>
            </w:pPr>
          </w:p>
        </w:tc>
        <w:tc>
          <w:tcPr>
            <w:tcW w:w="100" w:type="dxa"/>
            <w:vAlign w:val="bottom"/>
            <w:shd w:val="clear" w:color="auto" w:fill="C1E5F5"/>
          </w:tcPr>
          <w:p>
            <w:pPr>
              <w:spacing w:after="0"/>
              <w:rPr>
                <w:sz w:val="17"/>
                <w:szCs w:val="17"/>
                <w:color w:val="auto"/>
              </w:rPr>
            </w:pPr>
          </w:p>
        </w:tc>
        <w:tc>
          <w:tcPr>
            <w:tcW w:w="1080" w:type="dxa"/>
            <w:vAlign w:val="bottom"/>
            <w:shd w:val="clear" w:color="auto" w:fill="C1E5F5"/>
          </w:tcPr>
          <w:p>
            <w:pPr>
              <w:spacing w:after="0"/>
              <w:rPr>
                <w:sz w:val="17"/>
                <w:szCs w:val="17"/>
                <w:color w:val="auto"/>
              </w:rPr>
            </w:pPr>
          </w:p>
        </w:tc>
        <w:tc>
          <w:tcPr>
            <w:tcW w:w="40" w:type="dxa"/>
            <w:vAlign w:val="bottom"/>
            <w:shd w:val="clear" w:color="auto" w:fill="C1E5F5"/>
          </w:tcPr>
          <w:p>
            <w:pPr>
              <w:spacing w:after="0"/>
              <w:rPr>
                <w:sz w:val="17"/>
                <w:szCs w:val="17"/>
                <w:color w:val="auto"/>
              </w:rPr>
            </w:pPr>
          </w:p>
        </w:tc>
        <w:tc>
          <w:tcPr>
            <w:tcW w:w="80" w:type="dxa"/>
            <w:vAlign w:val="bottom"/>
            <w:shd w:val="clear" w:color="auto" w:fill="C1E5F5"/>
          </w:tcPr>
          <w:p>
            <w:pPr>
              <w:spacing w:after="0"/>
              <w:rPr>
                <w:sz w:val="17"/>
                <w:szCs w:val="17"/>
                <w:color w:val="auto"/>
              </w:rPr>
            </w:pPr>
          </w:p>
        </w:tc>
        <w:tc>
          <w:tcPr>
            <w:tcW w:w="40" w:type="dxa"/>
            <w:vAlign w:val="bottom"/>
            <w:shd w:val="clear" w:color="auto" w:fill="C1E5F5"/>
          </w:tcPr>
          <w:p>
            <w:pPr>
              <w:spacing w:after="0"/>
              <w:rPr>
                <w:sz w:val="17"/>
                <w:szCs w:val="17"/>
                <w:color w:val="auto"/>
              </w:rPr>
            </w:pPr>
          </w:p>
        </w:tc>
        <w:tc>
          <w:tcPr>
            <w:tcW w:w="180" w:type="dxa"/>
            <w:vAlign w:val="bottom"/>
            <w:shd w:val="clear" w:color="auto" w:fill="C1E5F5"/>
          </w:tcPr>
          <w:p>
            <w:pPr>
              <w:spacing w:after="0"/>
              <w:rPr>
                <w:sz w:val="17"/>
                <w:szCs w:val="17"/>
                <w:color w:val="auto"/>
              </w:rPr>
            </w:pPr>
          </w:p>
        </w:tc>
        <w:tc>
          <w:tcPr>
            <w:tcW w:w="900" w:type="dxa"/>
            <w:vAlign w:val="bottom"/>
            <w:shd w:val="clear" w:color="auto" w:fill="C1E5F5"/>
          </w:tcPr>
          <w:p>
            <w:pPr>
              <w:spacing w:after="0"/>
              <w:rPr>
                <w:sz w:val="17"/>
                <w:szCs w:val="17"/>
                <w:color w:val="auto"/>
              </w:rPr>
            </w:pPr>
          </w:p>
        </w:tc>
      </w:tr>
      <w:tr>
        <w:trPr>
          <w:trHeight w:val="216"/>
        </w:trPr>
        <w:tc>
          <w:tcPr>
            <w:tcW w:w="3500" w:type="dxa"/>
            <w:vAlign w:val="bottom"/>
            <w:shd w:val="clear" w:color="auto" w:fill="C1E5F5"/>
          </w:tcPr>
          <w:p>
            <w:pPr>
              <w:spacing w:after="0"/>
              <w:rPr>
                <w:sz w:val="20"/>
                <w:szCs w:val="20"/>
                <w:color w:val="auto"/>
              </w:rPr>
            </w:pPr>
            <w:r>
              <w:rPr>
                <w:rFonts w:ascii="Times New Roman" w:cs="Times New Roman" w:eastAsia="Times New Roman" w:hAnsi="Times New Roman"/>
                <w:sz w:val="16"/>
                <w:szCs w:val="16"/>
                <w:color w:val="auto"/>
              </w:rPr>
              <w:t>Securities</w:t>
            </w:r>
          </w:p>
        </w:tc>
        <w:tc>
          <w:tcPr>
            <w:tcW w:w="320" w:type="dxa"/>
            <w:vAlign w:val="bottom"/>
            <w:shd w:val="clear" w:color="auto" w:fill="C1E5F5"/>
          </w:tcPr>
          <w:p>
            <w:pPr>
              <w:spacing w:after="0"/>
              <w:rPr>
                <w:sz w:val="18"/>
                <w:szCs w:val="18"/>
                <w:color w:val="auto"/>
              </w:rPr>
            </w:pPr>
          </w:p>
        </w:tc>
        <w:tc>
          <w:tcPr>
            <w:tcW w:w="120" w:type="dxa"/>
            <w:vAlign w:val="bottom"/>
            <w:shd w:val="clear" w:color="auto" w:fill="C1E5F5"/>
          </w:tcPr>
          <w:p>
            <w:pPr>
              <w:spacing w:after="0"/>
              <w:rPr>
                <w:sz w:val="18"/>
                <w:szCs w:val="18"/>
                <w:color w:val="auto"/>
              </w:rPr>
            </w:pPr>
          </w:p>
        </w:tc>
        <w:tc>
          <w:tcPr>
            <w:tcW w:w="100" w:type="dxa"/>
            <w:vAlign w:val="bottom"/>
            <w:shd w:val="clear" w:color="auto" w:fill="C1E5F5"/>
          </w:tcPr>
          <w:p>
            <w:pPr>
              <w:spacing w:after="0"/>
              <w:rPr>
                <w:sz w:val="18"/>
                <w:szCs w:val="18"/>
                <w:color w:val="auto"/>
              </w:rPr>
            </w:pPr>
          </w:p>
        </w:tc>
        <w:tc>
          <w:tcPr>
            <w:tcW w:w="620" w:type="dxa"/>
            <w:vAlign w:val="bottom"/>
            <w:shd w:val="clear" w:color="auto" w:fill="C1E5F5"/>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1E5F5"/>
          </w:tcPr>
          <w:p>
            <w:pPr>
              <w:spacing w:after="0"/>
              <w:rPr>
                <w:sz w:val="18"/>
                <w:szCs w:val="18"/>
                <w:color w:val="auto"/>
              </w:rPr>
            </w:pPr>
          </w:p>
        </w:tc>
        <w:tc>
          <w:tcPr>
            <w:tcW w:w="120" w:type="dxa"/>
            <w:vAlign w:val="bottom"/>
            <w:shd w:val="clear" w:color="auto" w:fill="C1E5F5"/>
          </w:tcPr>
          <w:p>
            <w:pPr>
              <w:spacing w:after="0"/>
              <w:rPr>
                <w:sz w:val="18"/>
                <w:szCs w:val="18"/>
                <w:color w:val="auto"/>
              </w:rPr>
            </w:pPr>
          </w:p>
        </w:tc>
        <w:tc>
          <w:tcPr>
            <w:tcW w:w="220" w:type="dxa"/>
            <w:vAlign w:val="bottom"/>
            <w:shd w:val="clear" w:color="auto" w:fill="C1E5F5"/>
          </w:tcPr>
          <w:p>
            <w:pPr>
              <w:spacing w:after="0"/>
              <w:rPr>
                <w:sz w:val="18"/>
                <w:szCs w:val="18"/>
                <w:color w:val="auto"/>
              </w:rPr>
            </w:pPr>
          </w:p>
        </w:tc>
        <w:tc>
          <w:tcPr>
            <w:tcW w:w="120" w:type="dxa"/>
            <w:vAlign w:val="bottom"/>
            <w:shd w:val="clear" w:color="auto" w:fill="C1E5F5"/>
          </w:tcPr>
          <w:p>
            <w:pPr>
              <w:spacing w:after="0"/>
              <w:rPr>
                <w:sz w:val="18"/>
                <w:szCs w:val="18"/>
                <w:color w:val="auto"/>
              </w:rPr>
            </w:pPr>
          </w:p>
        </w:tc>
        <w:tc>
          <w:tcPr>
            <w:tcW w:w="80" w:type="dxa"/>
            <w:vAlign w:val="bottom"/>
            <w:shd w:val="clear" w:color="auto" w:fill="C1E5F5"/>
          </w:tcPr>
          <w:p>
            <w:pPr>
              <w:spacing w:after="0"/>
              <w:rPr>
                <w:sz w:val="18"/>
                <w:szCs w:val="18"/>
                <w:color w:val="auto"/>
              </w:rPr>
            </w:pPr>
          </w:p>
        </w:tc>
        <w:tc>
          <w:tcPr>
            <w:tcW w:w="760" w:type="dxa"/>
            <w:vAlign w:val="bottom"/>
            <w:shd w:val="clear" w:color="auto" w:fill="C1E5F5"/>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1E5F5"/>
          </w:tcPr>
          <w:p>
            <w:pPr>
              <w:spacing w:after="0"/>
              <w:rPr>
                <w:sz w:val="18"/>
                <w:szCs w:val="18"/>
                <w:color w:val="auto"/>
              </w:rPr>
            </w:pPr>
          </w:p>
        </w:tc>
        <w:tc>
          <w:tcPr>
            <w:tcW w:w="200" w:type="dxa"/>
            <w:vAlign w:val="bottom"/>
            <w:shd w:val="clear" w:color="auto" w:fill="C1E5F5"/>
          </w:tcPr>
          <w:p>
            <w:pPr>
              <w:spacing w:after="0"/>
              <w:rPr>
                <w:sz w:val="18"/>
                <w:szCs w:val="18"/>
                <w:color w:val="auto"/>
              </w:rPr>
            </w:pPr>
          </w:p>
        </w:tc>
        <w:tc>
          <w:tcPr>
            <w:tcW w:w="120" w:type="dxa"/>
            <w:vAlign w:val="bottom"/>
            <w:shd w:val="clear" w:color="auto" w:fill="C1E5F5"/>
          </w:tcPr>
          <w:p>
            <w:pPr>
              <w:spacing w:after="0"/>
              <w:rPr>
                <w:sz w:val="18"/>
                <w:szCs w:val="18"/>
                <w:color w:val="auto"/>
              </w:rPr>
            </w:pPr>
          </w:p>
        </w:tc>
        <w:tc>
          <w:tcPr>
            <w:tcW w:w="100" w:type="dxa"/>
            <w:vAlign w:val="bottom"/>
            <w:shd w:val="clear" w:color="auto" w:fill="C1E5F5"/>
          </w:tcPr>
          <w:p>
            <w:pPr>
              <w:spacing w:after="0"/>
              <w:rPr>
                <w:sz w:val="18"/>
                <w:szCs w:val="18"/>
                <w:color w:val="auto"/>
              </w:rPr>
            </w:pPr>
          </w:p>
        </w:tc>
        <w:tc>
          <w:tcPr>
            <w:tcW w:w="880" w:type="dxa"/>
            <w:vAlign w:val="bottom"/>
            <w:gridSpan w:val="2"/>
            <w:shd w:val="clear" w:color="auto" w:fill="C1E5F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1E5F5"/>
          </w:tcPr>
          <w:p>
            <w:pPr>
              <w:spacing w:after="0"/>
              <w:rPr>
                <w:sz w:val="18"/>
                <w:szCs w:val="18"/>
                <w:color w:val="auto"/>
              </w:rPr>
            </w:pPr>
          </w:p>
        </w:tc>
        <w:tc>
          <w:tcPr>
            <w:tcW w:w="120" w:type="dxa"/>
            <w:vAlign w:val="bottom"/>
            <w:shd w:val="clear" w:color="auto" w:fill="C1E5F5"/>
          </w:tcPr>
          <w:p>
            <w:pPr>
              <w:spacing w:after="0"/>
              <w:rPr>
                <w:sz w:val="18"/>
                <w:szCs w:val="18"/>
                <w:color w:val="auto"/>
              </w:rPr>
            </w:pPr>
          </w:p>
        </w:tc>
        <w:tc>
          <w:tcPr>
            <w:tcW w:w="100" w:type="dxa"/>
            <w:vAlign w:val="bottom"/>
            <w:shd w:val="clear" w:color="auto" w:fill="C1E5F5"/>
          </w:tcPr>
          <w:p>
            <w:pPr>
              <w:spacing w:after="0"/>
              <w:rPr>
                <w:sz w:val="18"/>
                <w:szCs w:val="18"/>
                <w:color w:val="auto"/>
              </w:rPr>
            </w:pPr>
          </w:p>
        </w:tc>
        <w:tc>
          <w:tcPr>
            <w:tcW w:w="940" w:type="dxa"/>
            <w:vAlign w:val="bottom"/>
            <w:gridSpan w:val="2"/>
            <w:shd w:val="clear" w:color="auto" w:fill="C1E5F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1E5F5"/>
          </w:tcPr>
          <w:p>
            <w:pPr>
              <w:spacing w:after="0"/>
              <w:rPr>
                <w:sz w:val="18"/>
                <w:szCs w:val="18"/>
                <w:color w:val="auto"/>
              </w:rPr>
            </w:pPr>
          </w:p>
        </w:tc>
        <w:tc>
          <w:tcPr>
            <w:tcW w:w="80" w:type="dxa"/>
            <w:vAlign w:val="bottom"/>
            <w:shd w:val="clear" w:color="auto" w:fill="C1E5F5"/>
          </w:tcPr>
          <w:p>
            <w:pPr>
              <w:spacing w:after="0"/>
              <w:rPr>
                <w:sz w:val="18"/>
                <w:szCs w:val="18"/>
                <w:color w:val="auto"/>
              </w:rPr>
            </w:pPr>
          </w:p>
        </w:tc>
        <w:tc>
          <w:tcPr>
            <w:tcW w:w="40" w:type="dxa"/>
            <w:vAlign w:val="bottom"/>
            <w:shd w:val="clear" w:color="auto" w:fill="C1E5F5"/>
          </w:tcPr>
          <w:p>
            <w:pPr>
              <w:spacing w:after="0"/>
              <w:rPr>
                <w:sz w:val="18"/>
                <w:szCs w:val="18"/>
                <w:color w:val="auto"/>
              </w:rPr>
            </w:pPr>
          </w:p>
        </w:tc>
        <w:tc>
          <w:tcPr>
            <w:tcW w:w="100" w:type="dxa"/>
            <w:vAlign w:val="bottom"/>
            <w:shd w:val="clear" w:color="auto" w:fill="C1E5F5"/>
          </w:tcPr>
          <w:p>
            <w:pPr>
              <w:spacing w:after="0"/>
              <w:rPr>
                <w:sz w:val="18"/>
                <w:szCs w:val="18"/>
                <w:color w:val="auto"/>
              </w:rPr>
            </w:pPr>
          </w:p>
        </w:tc>
        <w:tc>
          <w:tcPr>
            <w:tcW w:w="1080" w:type="dxa"/>
            <w:vAlign w:val="bottom"/>
            <w:shd w:val="clear" w:color="auto" w:fill="C1E5F5"/>
          </w:tcPr>
          <w:p>
            <w:pPr>
              <w:jc w:val="right"/>
              <w:ind w:right="59"/>
              <w:spacing w:after="0"/>
              <w:rPr>
                <w:sz w:val="20"/>
                <w:szCs w:val="20"/>
                <w:color w:val="auto"/>
              </w:rPr>
            </w:pPr>
            <w:r>
              <w:rPr>
                <w:rFonts w:ascii="Times New Roman" w:cs="Times New Roman" w:eastAsia="Times New Roman" w:hAnsi="Times New Roman"/>
                <w:sz w:val="16"/>
                <w:szCs w:val="16"/>
                <w:color w:val="auto"/>
              </w:rPr>
              <w:t>8,694</w:t>
            </w:r>
          </w:p>
        </w:tc>
        <w:tc>
          <w:tcPr>
            <w:tcW w:w="40" w:type="dxa"/>
            <w:vAlign w:val="bottom"/>
            <w:shd w:val="clear" w:color="auto" w:fill="C1E5F5"/>
          </w:tcPr>
          <w:p>
            <w:pPr>
              <w:spacing w:after="0"/>
              <w:rPr>
                <w:sz w:val="18"/>
                <w:szCs w:val="18"/>
                <w:color w:val="auto"/>
              </w:rPr>
            </w:pPr>
          </w:p>
        </w:tc>
        <w:tc>
          <w:tcPr>
            <w:tcW w:w="80" w:type="dxa"/>
            <w:vAlign w:val="bottom"/>
            <w:shd w:val="clear" w:color="auto" w:fill="C1E5F5"/>
          </w:tcPr>
          <w:p>
            <w:pPr>
              <w:spacing w:after="0"/>
              <w:rPr>
                <w:sz w:val="18"/>
                <w:szCs w:val="18"/>
                <w:color w:val="auto"/>
              </w:rPr>
            </w:pPr>
          </w:p>
        </w:tc>
        <w:tc>
          <w:tcPr>
            <w:tcW w:w="40" w:type="dxa"/>
            <w:vAlign w:val="bottom"/>
            <w:shd w:val="clear" w:color="auto" w:fill="C1E5F5"/>
          </w:tcPr>
          <w:p>
            <w:pPr>
              <w:spacing w:after="0"/>
              <w:rPr>
                <w:sz w:val="18"/>
                <w:szCs w:val="18"/>
                <w:color w:val="auto"/>
              </w:rPr>
            </w:pPr>
          </w:p>
        </w:tc>
        <w:tc>
          <w:tcPr>
            <w:tcW w:w="180" w:type="dxa"/>
            <w:vAlign w:val="bottom"/>
            <w:shd w:val="clear" w:color="auto" w:fill="C1E5F5"/>
          </w:tcPr>
          <w:p>
            <w:pPr>
              <w:spacing w:after="0"/>
              <w:rPr>
                <w:sz w:val="18"/>
                <w:szCs w:val="18"/>
                <w:color w:val="auto"/>
              </w:rPr>
            </w:pPr>
          </w:p>
        </w:tc>
        <w:tc>
          <w:tcPr>
            <w:tcW w:w="900" w:type="dxa"/>
            <w:vAlign w:val="bottom"/>
            <w:shd w:val="clear" w:color="auto" w:fill="C1E5F5"/>
          </w:tcPr>
          <w:p>
            <w:pPr>
              <w:jc w:val="right"/>
              <w:ind w:right="39"/>
              <w:spacing w:after="0"/>
              <w:rPr>
                <w:sz w:val="20"/>
                <w:szCs w:val="20"/>
                <w:color w:val="auto"/>
              </w:rPr>
            </w:pPr>
            <w:r>
              <w:rPr>
                <w:rFonts w:ascii="Times New Roman" w:cs="Times New Roman" w:eastAsia="Times New Roman" w:hAnsi="Times New Roman"/>
                <w:sz w:val="16"/>
                <w:szCs w:val="16"/>
                <w:color w:val="auto"/>
              </w:rPr>
              <w:t>8,694</w:t>
            </w:r>
          </w:p>
        </w:tc>
      </w:tr>
      <w:tr>
        <w:trPr>
          <w:trHeight w:val="21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Capitalized PIK interest and dividends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2,140</w:t>
            </w:r>
          </w:p>
        </w:tc>
      </w:tr>
      <w:tr>
        <w:trPr>
          <w:trHeight w:val="219"/>
        </w:trPr>
        <w:tc>
          <w:tcPr>
            <w:tcW w:w="3500" w:type="dxa"/>
            <w:vAlign w:val="bottom"/>
            <w:shd w:val="clear" w:color="auto" w:fill="C1E5F5"/>
          </w:tcPr>
          <w:p>
            <w:pPr>
              <w:spacing w:after="0"/>
              <w:rPr>
                <w:sz w:val="20"/>
                <w:szCs w:val="20"/>
                <w:color w:val="auto"/>
              </w:rPr>
            </w:pPr>
            <w:r>
              <w:rPr>
                <w:rFonts w:ascii="Times New Roman" w:cs="Times New Roman" w:eastAsia="Times New Roman" w:hAnsi="Times New Roman"/>
                <w:sz w:val="16"/>
                <w:szCs w:val="16"/>
                <w:color w:val="auto"/>
              </w:rPr>
              <w:t>Amendment fees received</w:t>
            </w:r>
          </w:p>
        </w:tc>
        <w:tc>
          <w:tcPr>
            <w:tcW w:w="320" w:type="dxa"/>
            <w:vAlign w:val="bottom"/>
            <w:shd w:val="clear" w:color="auto" w:fill="C1E5F5"/>
          </w:tcPr>
          <w:p>
            <w:pPr>
              <w:spacing w:after="0"/>
              <w:rPr>
                <w:sz w:val="19"/>
                <w:szCs w:val="19"/>
                <w:color w:val="auto"/>
              </w:rPr>
            </w:pPr>
          </w:p>
        </w:tc>
        <w:tc>
          <w:tcPr>
            <w:tcW w:w="120" w:type="dxa"/>
            <w:vAlign w:val="bottom"/>
            <w:shd w:val="clear" w:color="auto" w:fill="C1E5F5"/>
          </w:tcPr>
          <w:p>
            <w:pPr>
              <w:spacing w:after="0"/>
              <w:rPr>
                <w:sz w:val="19"/>
                <w:szCs w:val="19"/>
                <w:color w:val="auto"/>
              </w:rPr>
            </w:pPr>
          </w:p>
        </w:tc>
        <w:tc>
          <w:tcPr>
            <w:tcW w:w="100" w:type="dxa"/>
            <w:vAlign w:val="bottom"/>
            <w:shd w:val="clear" w:color="auto" w:fill="C1E5F5"/>
          </w:tcPr>
          <w:p>
            <w:pPr>
              <w:spacing w:after="0"/>
              <w:rPr>
                <w:sz w:val="19"/>
                <w:szCs w:val="19"/>
                <w:color w:val="auto"/>
              </w:rPr>
            </w:pPr>
          </w:p>
        </w:tc>
        <w:tc>
          <w:tcPr>
            <w:tcW w:w="620" w:type="dxa"/>
            <w:vAlign w:val="bottom"/>
            <w:shd w:val="clear" w:color="auto" w:fill="C1E5F5"/>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40" w:type="dxa"/>
            <w:vAlign w:val="bottom"/>
            <w:shd w:val="clear" w:color="auto" w:fill="C1E5F5"/>
          </w:tcPr>
          <w:p>
            <w:pPr>
              <w:spacing w:after="0"/>
              <w:rPr>
                <w:sz w:val="19"/>
                <w:szCs w:val="19"/>
                <w:color w:val="auto"/>
              </w:rPr>
            </w:pPr>
          </w:p>
        </w:tc>
        <w:tc>
          <w:tcPr>
            <w:tcW w:w="120" w:type="dxa"/>
            <w:vAlign w:val="bottom"/>
            <w:shd w:val="clear" w:color="auto" w:fill="C1E5F5"/>
          </w:tcPr>
          <w:p>
            <w:pPr>
              <w:spacing w:after="0"/>
              <w:rPr>
                <w:sz w:val="19"/>
                <w:szCs w:val="19"/>
                <w:color w:val="auto"/>
              </w:rPr>
            </w:pPr>
          </w:p>
        </w:tc>
        <w:tc>
          <w:tcPr>
            <w:tcW w:w="220" w:type="dxa"/>
            <w:vAlign w:val="bottom"/>
            <w:shd w:val="clear" w:color="auto" w:fill="C1E5F5"/>
          </w:tcPr>
          <w:p>
            <w:pPr>
              <w:spacing w:after="0"/>
              <w:rPr>
                <w:sz w:val="19"/>
                <w:szCs w:val="19"/>
                <w:color w:val="auto"/>
              </w:rPr>
            </w:pPr>
          </w:p>
        </w:tc>
        <w:tc>
          <w:tcPr>
            <w:tcW w:w="120" w:type="dxa"/>
            <w:vAlign w:val="bottom"/>
            <w:shd w:val="clear" w:color="auto" w:fill="C1E5F5"/>
          </w:tcPr>
          <w:p>
            <w:pPr>
              <w:spacing w:after="0"/>
              <w:rPr>
                <w:sz w:val="19"/>
                <w:szCs w:val="19"/>
                <w:color w:val="auto"/>
              </w:rPr>
            </w:pPr>
          </w:p>
        </w:tc>
        <w:tc>
          <w:tcPr>
            <w:tcW w:w="80" w:type="dxa"/>
            <w:vAlign w:val="bottom"/>
            <w:shd w:val="clear" w:color="auto" w:fill="C1E5F5"/>
          </w:tcPr>
          <w:p>
            <w:pPr>
              <w:spacing w:after="0"/>
              <w:rPr>
                <w:sz w:val="19"/>
                <w:szCs w:val="19"/>
                <w:color w:val="auto"/>
              </w:rPr>
            </w:pPr>
          </w:p>
        </w:tc>
        <w:tc>
          <w:tcPr>
            <w:tcW w:w="760" w:type="dxa"/>
            <w:vAlign w:val="bottom"/>
            <w:shd w:val="clear" w:color="auto" w:fill="C1E5F5"/>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1E5F5"/>
          </w:tcPr>
          <w:p>
            <w:pPr>
              <w:spacing w:after="0"/>
              <w:rPr>
                <w:sz w:val="19"/>
                <w:szCs w:val="19"/>
                <w:color w:val="auto"/>
              </w:rPr>
            </w:pPr>
          </w:p>
        </w:tc>
        <w:tc>
          <w:tcPr>
            <w:tcW w:w="200" w:type="dxa"/>
            <w:vAlign w:val="bottom"/>
            <w:shd w:val="clear" w:color="auto" w:fill="C1E5F5"/>
          </w:tcPr>
          <w:p>
            <w:pPr>
              <w:spacing w:after="0"/>
              <w:rPr>
                <w:sz w:val="19"/>
                <w:szCs w:val="19"/>
                <w:color w:val="auto"/>
              </w:rPr>
            </w:pPr>
          </w:p>
        </w:tc>
        <w:tc>
          <w:tcPr>
            <w:tcW w:w="120" w:type="dxa"/>
            <w:vAlign w:val="bottom"/>
            <w:shd w:val="clear" w:color="auto" w:fill="C1E5F5"/>
          </w:tcPr>
          <w:p>
            <w:pPr>
              <w:spacing w:after="0"/>
              <w:rPr>
                <w:sz w:val="19"/>
                <w:szCs w:val="19"/>
                <w:color w:val="auto"/>
              </w:rPr>
            </w:pPr>
          </w:p>
        </w:tc>
        <w:tc>
          <w:tcPr>
            <w:tcW w:w="100" w:type="dxa"/>
            <w:vAlign w:val="bottom"/>
            <w:shd w:val="clear" w:color="auto" w:fill="C1E5F5"/>
          </w:tcPr>
          <w:p>
            <w:pPr>
              <w:spacing w:after="0"/>
              <w:rPr>
                <w:sz w:val="19"/>
                <w:szCs w:val="19"/>
                <w:color w:val="auto"/>
              </w:rPr>
            </w:pPr>
          </w:p>
        </w:tc>
        <w:tc>
          <w:tcPr>
            <w:tcW w:w="880" w:type="dxa"/>
            <w:vAlign w:val="bottom"/>
            <w:gridSpan w:val="2"/>
            <w:shd w:val="clear" w:color="auto" w:fill="C1E5F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1E5F5"/>
          </w:tcPr>
          <w:p>
            <w:pPr>
              <w:spacing w:after="0"/>
              <w:rPr>
                <w:sz w:val="19"/>
                <w:szCs w:val="19"/>
                <w:color w:val="auto"/>
              </w:rPr>
            </w:pPr>
          </w:p>
        </w:tc>
        <w:tc>
          <w:tcPr>
            <w:tcW w:w="120" w:type="dxa"/>
            <w:vAlign w:val="bottom"/>
            <w:shd w:val="clear" w:color="auto" w:fill="C1E5F5"/>
          </w:tcPr>
          <w:p>
            <w:pPr>
              <w:spacing w:after="0"/>
              <w:rPr>
                <w:sz w:val="19"/>
                <w:szCs w:val="19"/>
                <w:color w:val="auto"/>
              </w:rPr>
            </w:pPr>
          </w:p>
        </w:tc>
        <w:tc>
          <w:tcPr>
            <w:tcW w:w="100" w:type="dxa"/>
            <w:vAlign w:val="bottom"/>
            <w:shd w:val="clear" w:color="auto" w:fill="C1E5F5"/>
          </w:tcPr>
          <w:p>
            <w:pPr>
              <w:spacing w:after="0"/>
              <w:rPr>
                <w:sz w:val="19"/>
                <w:szCs w:val="19"/>
                <w:color w:val="auto"/>
              </w:rPr>
            </w:pPr>
          </w:p>
        </w:tc>
        <w:tc>
          <w:tcPr>
            <w:tcW w:w="940" w:type="dxa"/>
            <w:vAlign w:val="bottom"/>
            <w:gridSpan w:val="2"/>
            <w:shd w:val="clear" w:color="auto" w:fill="C1E5F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1E5F5"/>
          </w:tcPr>
          <w:p>
            <w:pPr>
              <w:spacing w:after="0"/>
              <w:rPr>
                <w:sz w:val="19"/>
                <w:szCs w:val="19"/>
                <w:color w:val="auto"/>
              </w:rPr>
            </w:pPr>
          </w:p>
        </w:tc>
        <w:tc>
          <w:tcPr>
            <w:tcW w:w="80" w:type="dxa"/>
            <w:vAlign w:val="bottom"/>
            <w:shd w:val="clear" w:color="auto" w:fill="C1E5F5"/>
          </w:tcPr>
          <w:p>
            <w:pPr>
              <w:spacing w:after="0"/>
              <w:rPr>
                <w:sz w:val="19"/>
                <w:szCs w:val="19"/>
                <w:color w:val="auto"/>
              </w:rPr>
            </w:pPr>
          </w:p>
        </w:tc>
        <w:tc>
          <w:tcPr>
            <w:tcW w:w="40" w:type="dxa"/>
            <w:vAlign w:val="bottom"/>
            <w:shd w:val="clear" w:color="auto" w:fill="C1E5F5"/>
          </w:tcPr>
          <w:p>
            <w:pPr>
              <w:spacing w:after="0"/>
              <w:rPr>
                <w:sz w:val="19"/>
                <w:szCs w:val="19"/>
                <w:color w:val="auto"/>
              </w:rPr>
            </w:pPr>
          </w:p>
        </w:tc>
        <w:tc>
          <w:tcPr>
            <w:tcW w:w="100" w:type="dxa"/>
            <w:vAlign w:val="bottom"/>
            <w:shd w:val="clear" w:color="auto" w:fill="C1E5F5"/>
          </w:tcPr>
          <w:p>
            <w:pPr>
              <w:spacing w:after="0"/>
              <w:rPr>
                <w:sz w:val="19"/>
                <w:szCs w:val="19"/>
                <w:color w:val="auto"/>
              </w:rPr>
            </w:pPr>
          </w:p>
        </w:tc>
        <w:tc>
          <w:tcPr>
            <w:tcW w:w="1120" w:type="dxa"/>
            <w:vAlign w:val="bottom"/>
            <w:gridSpan w:val="2"/>
            <w:shd w:val="clear" w:color="auto" w:fill="C1E5F5"/>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1E5F5"/>
          </w:tcPr>
          <w:p>
            <w:pPr>
              <w:spacing w:after="0"/>
              <w:rPr>
                <w:sz w:val="19"/>
                <w:szCs w:val="19"/>
                <w:color w:val="auto"/>
              </w:rPr>
            </w:pPr>
          </w:p>
        </w:tc>
        <w:tc>
          <w:tcPr>
            <w:tcW w:w="40" w:type="dxa"/>
            <w:vAlign w:val="bottom"/>
            <w:shd w:val="clear" w:color="auto" w:fill="C1E5F5"/>
          </w:tcPr>
          <w:p>
            <w:pPr>
              <w:spacing w:after="0"/>
              <w:rPr>
                <w:sz w:val="19"/>
                <w:szCs w:val="19"/>
                <w:color w:val="auto"/>
              </w:rPr>
            </w:pPr>
          </w:p>
        </w:tc>
        <w:tc>
          <w:tcPr>
            <w:tcW w:w="180" w:type="dxa"/>
            <w:vAlign w:val="bottom"/>
            <w:shd w:val="clear" w:color="auto" w:fill="C1E5F5"/>
          </w:tcPr>
          <w:p>
            <w:pPr>
              <w:spacing w:after="0"/>
              <w:rPr>
                <w:sz w:val="19"/>
                <w:szCs w:val="19"/>
                <w:color w:val="auto"/>
              </w:rPr>
            </w:pPr>
          </w:p>
        </w:tc>
        <w:tc>
          <w:tcPr>
            <w:tcW w:w="900" w:type="dxa"/>
            <w:vAlign w:val="bottom"/>
            <w:shd w:val="clear" w:color="auto" w:fill="C1E5F5"/>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Purchase and origination of portfolio investments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20,213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18,041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41,004</w:t>
            </w:r>
          </w:p>
        </w:tc>
      </w:tr>
      <w:tr>
        <w:trPr>
          <w:trHeight w:val="205"/>
        </w:trPr>
        <w:tc>
          <w:tcPr>
            <w:tcW w:w="3500" w:type="dxa"/>
            <w:vAlign w:val="bottom"/>
            <w:shd w:val="clear" w:color="auto" w:fill="C1E5F5"/>
          </w:tcPr>
          <w:p>
            <w:pPr>
              <w:spacing w:after="0"/>
              <w:rPr>
                <w:sz w:val="20"/>
                <w:szCs w:val="20"/>
                <w:color w:val="auto"/>
              </w:rPr>
            </w:pPr>
            <w:r>
              <w:rPr>
                <w:rFonts w:ascii="Times New Roman" w:cs="Times New Roman" w:eastAsia="Times New Roman" w:hAnsi="Times New Roman"/>
                <w:sz w:val="16"/>
                <w:szCs w:val="16"/>
                <w:color w:val="auto"/>
              </w:rPr>
              <w:t>Proceeds from principal payments on portfolio</w:t>
            </w:r>
          </w:p>
        </w:tc>
        <w:tc>
          <w:tcPr>
            <w:tcW w:w="32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100" w:type="dxa"/>
            <w:vAlign w:val="bottom"/>
            <w:shd w:val="clear" w:color="auto" w:fill="C1E5F5"/>
          </w:tcPr>
          <w:p>
            <w:pPr>
              <w:spacing w:after="0"/>
              <w:rPr>
                <w:sz w:val="17"/>
                <w:szCs w:val="17"/>
                <w:color w:val="auto"/>
              </w:rPr>
            </w:pPr>
          </w:p>
        </w:tc>
        <w:tc>
          <w:tcPr>
            <w:tcW w:w="620" w:type="dxa"/>
            <w:vAlign w:val="bottom"/>
            <w:shd w:val="clear" w:color="auto" w:fill="C1E5F5"/>
          </w:tcPr>
          <w:p>
            <w:pPr>
              <w:spacing w:after="0"/>
              <w:rPr>
                <w:sz w:val="17"/>
                <w:szCs w:val="17"/>
                <w:color w:val="auto"/>
              </w:rPr>
            </w:pPr>
          </w:p>
        </w:tc>
        <w:tc>
          <w:tcPr>
            <w:tcW w:w="4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22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80" w:type="dxa"/>
            <w:vAlign w:val="bottom"/>
            <w:shd w:val="clear" w:color="auto" w:fill="C1E5F5"/>
          </w:tcPr>
          <w:p>
            <w:pPr>
              <w:spacing w:after="0"/>
              <w:rPr>
                <w:sz w:val="17"/>
                <w:szCs w:val="17"/>
                <w:color w:val="auto"/>
              </w:rPr>
            </w:pPr>
          </w:p>
        </w:tc>
        <w:tc>
          <w:tcPr>
            <w:tcW w:w="76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20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100" w:type="dxa"/>
            <w:vAlign w:val="bottom"/>
            <w:shd w:val="clear" w:color="auto" w:fill="C1E5F5"/>
          </w:tcPr>
          <w:p>
            <w:pPr>
              <w:spacing w:after="0"/>
              <w:rPr>
                <w:sz w:val="17"/>
                <w:szCs w:val="17"/>
                <w:color w:val="auto"/>
              </w:rPr>
            </w:pPr>
          </w:p>
        </w:tc>
        <w:tc>
          <w:tcPr>
            <w:tcW w:w="76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10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100" w:type="dxa"/>
            <w:vAlign w:val="bottom"/>
            <w:shd w:val="clear" w:color="auto" w:fill="C1E5F5"/>
          </w:tcPr>
          <w:p>
            <w:pPr>
              <w:spacing w:after="0"/>
              <w:rPr>
                <w:sz w:val="17"/>
                <w:szCs w:val="17"/>
                <w:color w:val="auto"/>
              </w:rPr>
            </w:pPr>
          </w:p>
        </w:tc>
        <w:tc>
          <w:tcPr>
            <w:tcW w:w="82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40" w:type="dxa"/>
            <w:vAlign w:val="bottom"/>
            <w:shd w:val="clear" w:color="auto" w:fill="C1E5F5"/>
          </w:tcPr>
          <w:p>
            <w:pPr>
              <w:spacing w:after="0"/>
              <w:rPr>
                <w:sz w:val="17"/>
                <w:szCs w:val="17"/>
                <w:color w:val="auto"/>
              </w:rPr>
            </w:pPr>
          </w:p>
        </w:tc>
        <w:tc>
          <w:tcPr>
            <w:tcW w:w="80" w:type="dxa"/>
            <w:vAlign w:val="bottom"/>
            <w:shd w:val="clear" w:color="auto" w:fill="C1E5F5"/>
          </w:tcPr>
          <w:p>
            <w:pPr>
              <w:spacing w:after="0"/>
              <w:rPr>
                <w:sz w:val="17"/>
                <w:szCs w:val="17"/>
                <w:color w:val="auto"/>
              </w:rPr>
            </w:pPr>
          </w:p>
        </w:tc>
        <w:tc>
          <w:tcPr>
            <w:tcW w:w="40" w:type="dxa"/>
            <w:vAlign w:val="bottom"/>
            <w:shd w:val="clear" w:color="auto" w:fill="C1E5F5"/>
          </w:tcPr>
          <w:p>
            <w:pPr>
              <w:spacing w:after="0"/>
              <w:rPr>
                <w:sz w:val="17"/>
                <w:szCs w:val="17"/>
                <w:color w:val="auto"/>
              </w:rPr>
            </w:pPr>
          </w:p>
        </w:tc>
        <w:tc>
          <w:tcPr>
            <w:tcW w:w="100" w:type="dxa"/>
            <w:vAlign w:val="bottom"/>
            <w:shd w:val="clear" w:color="auto" w:fill="C1E5F5"/>
          </w:tcPr>
          <w:p>
            <w:pPr>
              <w:spacing w:after="0"/>
              <w:rPr>
                <w:sz w:val="17"/>
                <w:szCs w:val="17"/>
                <w:color w:val="auto"/>
              </w:rPr>
            </w:pPr>
          </w:p>
        </w:tc>
        <w:tc>
          <w:tcPr>
            <w:tcW w:w="1080" w:type="dxa"/>
            <w:vAlign w:val="bottom"/>
            <w:shd w:val="clear" w:color="auto" w:fill="C1E5F5"/>
          </w:tcPr>
          <w:p>
            <w:pPr>
              <w:spacing w:after="0"/>
              <w:rPr>
                <w:sz w:val="17"/>
                <w:szCs w:val="17"/>
                <w:color w:val="auto"/>
              </w:rPr>
            </w:pPr>
          </w:p>
        </w:tc>
        <w:tc>
          <w:tcPr>
            <w:tcW w:w="40" w:type="dxa"/>
            <w:vAlign w:val="bottom"/>
            <w:shd w:val="clear" w:color="auto" w:fill="C1E5F5"/>
          </w:tcPr>
          <w:p>
            <w:pPr>
              <w:spacing w:after="0"/>
              <w:rPr>
                <w:sz w:val="17"/>
                <w:szCs w:val="17"/>
                <w:color w:val="auto"/>
              </w:rPr>
            </w:pPr>
          </w:p>
        </w:tc>
        <w:tc>
          <w:tcPr>
            <w:tcW w:w="80" w:type="dxa"/>
            <w:vAlign w:val="bottom"/>
            <w:shd w:val="clear" w:color="auto" w:fill="C1E5F5"/>
          </w:tcPr>
          <w:p>
            <w:pPr>
              <w:spacing w:after="0"/>
              <w:rPr>
                <w:sz w:val="17"/>
                <w:szCs w:val="17"/>
                <w:color w:val="auto"/>
              </w:rPr>
            </w:pPr>
          </w:p>
        </w:tc>
        <w:tc>
          <w:tcPr>
            <w:tcW w:w="40" w:type="dxa"/>
            <w:vAlign w:val="bottom"/>
            <w:shd w:val="clear" w:color="auto" w:fill="C1E5F5"/>
          </w:tcPr>
          <w:p>
            <w:pPr>
              <w:spacing w:after="0"/>
              <w:rPr>
                <w:sz w:val="17"/>
                <w:szCs w:val="17"/>
                <w:color w:val="auto"/>
              </w:rPr>
            </w:pPr>
          </w:p>
        </w:tc>
        <w:tc>
          <w:tcPr>
            <w:tcW w:w="180" w:type="dxa"/>
            <w:vAlign w:val="bottom"/>
            <w:shd w:val="clear" w:color="auto" w:fill="C1E5F5"/>
          </w:tcPr>
          <w:p>
            <w:pPr>
              <w:spacing w:after="0"/>
              <w:rPr>
                <w:sz w:val="17"/>
                <w:szCs w:val="17"/>
                <w:color w:val="auto"/>
              </w:rPr>
            </w:pPr>
          </w:p>
        </w:tc>
        <w:tc>
          <w:tcPr>
            <w:tcW w:w="900" w:type="dxa"/>
            <w:vAlign w:val="bottom"/>
            <w:shd w:val="clear" w:color="auto" w:fill="C1E5F5"/>
          </w:tcPr>
          <w:p>
            <w:pPr>
              <w:spacing w:after="0"/>
              <w:rPr>
                <w:sz w:val="17"/>
                <w:szCs w:val="17"/>
                <w:color w:val="auto"/>
              </w:rPr>
            </w:pPr>
          </w:p>
        </w:tc>
      </w:tr>
      <w:tr>
        <w:trPr>
          <w:trHeight w:val="216"/>
        </w:trPr>
        <w:tc>
          <w:tcPr>
            <w:tcW w:w="3500" w:type="dxa"/>
            <w:vAlign w:val="bottom"/>
            <w:shd w:val="clear" w:color="auto" w:fill="C1E5F5"/>
          </w:tcPr>
          <w:p>
            <w:pPr>
              <w:spacing w:after="0"/>
              <w:rPr>
                <w:sz w:val="20"/>
                <w:szCs w:val="20"/>
                <w:color w:val="auto"/>
              </w:rPr>
            </w:pPr>
            <w:r>
              <w:rPr>
                <w:rFonts w:ascii="Times New Roman" w:cs="Times New Roman" w:eastAsia="Times New Roman" w:hAnsi="Times New Roman"/>
                <w:sz w:val="16"/>
                <w:szCs w:val="16"/>
                <w:color w:val="auto"/>
              </w:rPr>
              <w:t>investments</w:t>
            </w:r>
          </w:p>
        </w:tc>
        <w:tc>
          <w:tcPr>
            <w:tcW w:w="320" w:type="dxa"/>
            <w:vAlign w:val="bottom"/>
            <w:shd w:val="clear" w:color="auto" w:fill="C1E5F5"/>
          </w:tcPr>
          <w:p>
            <w:pPr>
              <w:spacing w:after="0"/>
              <w:rPr>
                <w:sz w:val="18"/>
                <w:szCs w:val="18"/>
                <w:color w:val="auto"/>
              </w:rPr>
            </w:pPr>
          </w:p>
        </w:tc>
        <w:tc>
          <w:tcPr>
            <w:tcW w:w="120" w:type="dxa"/>
            <w:vAlign w:val="bottom"/>
            <w:shd w:val="clear" w:color="auto" w:fill="C1E5F5"/>
          </w:tcPr>
          <w:p>
            <w:pPr>
              <w:spacing w:after="0"/>
              <w:rPr>
                <w:sz w:val="18"/>
                <w:szCs w:val="18"/>
                <w:color w:val="auto"/>
              </w:rPr>
            </w:pPr>
          </w:p>
        </w:tc>
        <w:tc>
          <w:tcPr>
            <w:tcW w:w="100" w:type="dxa"/>
            <w:vAlign w:val="bottom"/>
            <w:shd w:val="clear" w:color="auto" w:fill="C1E5F5"/>
          </w:tcPr>
          <w:p>
            <w:pPr>
              <w:spacing w:after="0"/>
              <w:rPr>
                <w:sz w:val="18"/>
                <w:szCs w:val="18"/>
                <w:color w:val="auto"/>
              </w:rPr>
            </w:pPr>
          </w:p>
        </w:tc>
        <w:tc>
          <w:tcPr>
            <w:tcW w:w="620" w:type="dxa"/>
            <w:vAlign w:val="bottom"/>
            <w:shd w:val="clear" w:color="auto" w:fill="C1E5F5"/>
          </w:tcPr>
          <w:p>
            <w:pPr>
              <w:jc w:val="right"/>
              <w:spacing w:after="0"/>
              <w:rPr>
                <w:sz w:val="20"/>
                <w:szCs w:val="20"/>
                <w:color w:val="auto"/>
              </w:rPr>
            </w:pPr>
            <w:r>
              <w:rPr>
                <w:rFonts w:ascii="Times New Roman" w:cs="Times New Roman" w:eastAsia="Times New Roman" w:hAnsi="Times New Roman"/>
                <w:sz w:val="16"/>
                <w:szCs w:val="16"/>
                <w:color w:val="auto"/>
              </w:rPr>
              <w:t>(8,612)</w:t>
            </w:r>
          </w:p>
        </w:tc>
        <w:tc>
          <w:tcPr>
            <w:tcW w:w="40" w:type="dxa"/>
            <w:vAlign w:val="bottom"/>
            <w:shd w:val="clear" w:color="auto" w:fill="C1E5F5"/>
          </w:tcPr>
          <w:p>
            <w:pPr>
              <w:spacing w:after="0"/>
              <w:rPr>
                <w:sz w:val="18"/>
                <w:szCs w:val="18"/>
                <w:color w:val="auto"/>
              </w:rPr>
            </w:pPr>
          </w:p>
        </w:tc>
        <w:tc>
          <w:tcPr>
            <w:tcW w:w="120" w:type="dxa"/>
            <w:vAlign w:val="bottom"/>
            <w:shd w:val="clear" w:color="auto" w:fill="C1E5F5"/>
          </w:tcPr>
          <w:p>
            <w:pPr>
              <w:spacing w:after="0"/>
              <w:rPr>
                <w:sz w:val="18"/>
                <w:szCs w:val="18"/>
                <w:color w:val="auto"/>
              </w:rPr>
            </w:pPr>
          </w:p>
        </w:tc>
        <w:tc>
          <w:tcPr>
            <w:tcW w:w="220" w:type="dxa"/>
            <w:vAlign w:val="bottom"/>
            <w:shd w:val="clear" w:color="auto" w:fill="C1E5F5"/>
          </w:tcPr>
          <w:p>
            <w:pPr>
              <w:spacing w:after="0"/>
              <w:rPr>
                <w:sz w:val="18"/>
                <w:szCs w:val="18"/>
                <w:color w:val="auto"/>
              </w:rPr>
            </w:pPr>
          </w:p>
        </w:tc>
        <w:tc>
          <w:tcPr>
            <w:tcW w:w="120" w:type="dxa"/>
            <w:vAlign w:val="bottom"/>
            <w:shd w:val="clear" w:color="auto" w:fill="C1E5F5"/>
          </w:tcPr>
          <w:p>
            <w:pPr>
              <w:spacing w:after="0"/>
              <w:rPr>
                <w:sz w:val="18"/>
                <w:szCs w:val="18"/>
                <w:color w:val="auto"/>
              </w:rPr>
            </w:pPr>
          </w:p>
        </w:tc>
        <w:tc>
          <w:tcPr>
            <w:tcW w:w="80" w:type="dxa"/>
            <w:vAlign w:val="bottom"/>
            <w:shd w:val="clear" w:color="auto" w:fill="C1E5F5"/>
          </w:tcPr>
          <w:p>
            <w:pPr>
              <w:spacing w:after="0"/>
              <w:rPr>
                <w:sz w:val="18"/>
                <w:szCs w:val="18"/>
                <w:color w:val="auto"/>
              </w:rPr>
            </w:pPr>
          </w:p>
        </w:tc>
        <w:tc>
          <w:tcPr>
            <w:tcW w:w="760" w:type="dxa"/>
            <w:vAlign w:val="bottom"/>
            <w:shd w:val="clear" w:color="auto" w:fill="C1E5F5"/>
          </w:tcPr>
          <w:p>
            <w:pPr>
              <w:jc w:val="right"/>
              <w:spacing w:after="0"/>
              <w:rPr>
                <w:sz w:val="20"/>
                <w:szCs w:val="20"/>
                <w:color w:val="auto"/>
              </w:rPr>
            </w:pPr>
            <w:r>
              <w:rPr>
                <w:rFonts w:ascii="Times New Roman" w:cs="Times New Roman" w:eastAsia="Times New Roman" w:hAnsi="Times New Roman"/>
                <w:sz w:val="16"/>
                <w:szCs w:val="16"/>
                <w:color w:val="auto"/>
              </w:rPr>
              <w:t>(7,061)</w:t>
            </w:r>
          </w:p>
        </w:tc>
        <w:tc>
          <w:tcPr>
            <w:tcW w:w="120" w:type="dxa"/>
            <w:vAlign w:val="bottom"/>
            <w:shd w:val="clear" w:color="auto" w:fill="C1E5F5"/>
          </w:tcPr>
          <w:p>
            <w:pPr>
              <w:spacing w:after="0"/>
              <w:rPr>
                <w:sz w:val="18"/>
                <w:szCs w:val="18"/>
                <w:color w:val="auto"/>
              </w:rPr>
            </w:pPr>
          </w:p>
        </w:tc>
        <w:tc>
          <w:tcPr>
            <w:tcW w:w="200" w:type="dxa"/>
            <w:vAlign w:val="bottom"/>
            <w:shd w:val="clear" w:color="auto" w:fill="C1E5F5"/>
          </w:tcPr>
          <w:p>
            <w:pPr>
              <w:spacing w:after="0"/>
              <w:rPr>
                <w:sz w:val="18"/>
                <w:szCs w:val="18"/>
                <w:color w:val="auto"/>
              </w:rPr>
            </w:pPr>
          </w:p>
        </w:tc>
        <w:tc>
          <w:tcPr>
            <w:tcW w:w="120" w:type="dxa"/>
            <w:vAlign w:val="bottom"/>
            <w:shd w:val="clear" w:color="auto" w:fill="C1E5F5"/>
          </w:tcPr>
          <w:p>
            <w:pPr>
              <w:spacing w:after="0"/>
              <w:rPr>
                <w:sz w:val="18"/>
                <w:szCs w:val="18"/>
                <w:color w:val="auto"/>
              </w:rPr>
            </w:pPr>
          </w:p>
        </w:tc>
        <w:tc>
          <w:tcPr>
            <w:tcW w:w="100" w:type="dxa"/>
            <w:vAlign w:val="bottom"/>
            <w:shd w:val="clear" w:color="auto" w:fill="C1E5F5"/>
          </w:tcPr>
          <w:p>
            <w:pPr>
              <w:spacing w:after="0"/>
              <w:rPr>
                <w:sz w:val="18"/>
                <w:szCs w:val="18"/>
                <w:color w:val="auto"/>
              </w:rPr>
            </w:pPr>
          </w:p>
        </w:tc>
        <w:tc>
          <w:tcPr>
            <w:tcW w:w="880" w:type="dxa"/>
            <w:vAlign w:val="bottom"/>
            <w:gridSpan w:val="2"/>
            <w:shd w:val="clear" w:color="auto" w:fill="C1E5F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1E5F5"/>
          </w:tcPr>
          <w:p>
            <w:pPr>
              <w:spacing w:after="0"/>
              <w:rPr>
                <w:sz w:val="18"/>
                <w:szCs w:val="18"/>
                <w:color w:val="auto"/>
              </w:rPr>
            </w:pPr>
          </w:p>
        </w:tc>
        <w:tc>
          <w:tcPr>
            <w:tcW w:w="120" w:type="dxa"/>
            <w:vAlign w:val="bottom"/>
            <w:shd w:val="clear" w:color="auto" w:fill="C1E5F5"/>
          </w:tcPr>
          <w:p>
            <w:pPr>
              <w:spacing w:after="0"/>
              <w:rPr>
                <w:sz w:val="18"/>
                <w:szCs w:val="18"/>
                <w:color w:val="auto"/>
              </w:rPr>
            </w:pPr>
          </w:p>
        </w:tc>
        <w:tc>
          <w:tcPr>
            <w:tcW w:w="100" w:type="dxa"/>
            <w:vAlign w:val="bottom"/>
            <w:shd w:val="clear" w:color="auto" w:fill="C1E5F5"/>
          </w:tcPr>
          <w:p>
            <w:pPr>
              <w:spacing w:after="0"/>
              <w:rPr>
                <w:sz w:val="18"/>
                <w:szCs w:val="18"/>
                <w:color w:val="auto"/>
              </w:rPr>
            </w:pPr>
          </w:p>
        </w:tc>
        <w:tc>
          <w:tcPr>
            <w:tcW w:w="940" w:type="dxa"/>
            <w:vAlign w:val="bottom"/>
            <w:gridSpan w:val="2"/>
            <w:shd w:val="clear" w:color="auto" w:fill="C1E5F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1E5F5"/>
          </w:tcPr>
          <w:p>
            <w:pPr>
              <w:spacing w:after="0"/>
              <w:rPr>
                <w:sz w:val="18"/>
                <w:szCs w:val="18"/>
                <w:color w:val="auto"/>
              </w:rPr>
            </w:pPr>
          </w:p>
        </w:tc>
        <w:tc>
          <w:tcPr>
            <w:tcW w:w="80" w:type="dxa"/>
            <w:vAlign w:val="bottom"/>
            <w:shd w:val="clear" w:color="auto" w:fill="C1E5F5"/>
          </w:tcPr>
          <w:p>
            <w:pPr>
              <w:spacing w:after="0"/>
              <w:rPr>
                <w:sz w:val="18"/>
                <w:szCs w:val="18"/>
                <w:color w:val="auto"/>
              </w:rPr>
            </w:pPr>
          </w:p>
        </w:tc>
        <w:tc>
          <w:tcPr>
            <w:tcW w:w="40" w:type="dxa"/>
            <w:vAlign w:val="bottom"/>
            <w:shd w:val="clear" w:color="auto" w:fill="C1E5F5"/>
          </w:tcPr>
          <w:p>
            <w:pPr>
              <w:spacing w:after="0"/>
              <w:rPr>
                <w:sz w:val="18"/>
                <w:szCs w:val="18"/>
                <w:color w:val="auto"/>
              </w:rPr>
            </w:pPr>
          </w:p>
        </w:tc>
        <w:tc>
          <w:tcPr>
            <w:tcW w:w="100" w:type="dxa"/>
            <w:vAlign w:val="bottom"/>
            <w:shd w:val="clear" w:color="auto" w:fill="C1E5F5"/>
          </w:tcPr>
          <w:p>
            <w:pPr>
              <w:spacing w:after="0"/>
              <w:rPr>
                <w:sz w:val="18"/>
                <w:szCs w:val="18"/>
                <w:color w:val="auto"/>
              </w:rPr>
            </w:pPr>
          </w:p>
        </w:tc>
        <w:tc>
          <w:tcPr>
            <w:tcW w:w="1080" w:type="dxa"/>
            <w:vAlign w:val="bottom"/>
            <w:shd w:val="clear" w:color="auto" w:fill="C1E5F5"/>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40" w:type="dxa"/>
            <w:vAlign w:val="bottom"/>
            <w:shd w:val="clear" w:color="auto" w:fill="C1E5F5"/>
          </w:tcPr>
          <w:p>
            <w:pPr>
              <w:spacing w:after="0"/>
              <w:rPr>
                <w:sz w:val="18"/>
                <w:szCs w:val="18"/>
                <w:color w:val="auto"/>
              </w:rPr>
            </w:pPr>
          </w:p>
        </w:tc>
        <w:tc>
          <w:tcPr>
            <w:tcW w:w="80" w:type="dxa"/>
            <w:vAlign w:val="bottom"/>
            <w:shd w:val="clear" w:color="auto" w:fill="C1E5F5"/>
          </w:tcPr>
          <w:p>
            <w:pPr>
              <w:spacing w:after="0"/>
              <w:rPr>
                <w:sz w:val="18"/>
                <w:szCs w:val="18"/>
                <w:color w:val="auto"/>
              </w:rPr>
            </w:pPr>
          </w:p>
        </w:tc>
        <w:tc>
          <w:tcPr>
            <w:tcW w:w="40" w:type="dxa"/>
            <w:vAlign w:val="bottom"/>
            <w:shd w:val="clear" w:color="auto" w:fill="C1E5F5"/>
          </w:tcPr>
          <w:p>
            <w:pPr>
              <w:spacing w:after="0"/>
              <w:rPr>
                <w:sz w:val="18"/>
                <w:szCs w:val="18"/>
                <w:color w:val="auto"/>
              </w:rPr>
            </w:pPr>
          </w:p>
        </w:tc>
        <w:tc>
          <w:tcPr>
            <w:tcW w:w="180" w:type="dxa"/>
            <w:vAlign w:val="bottom"/>
            <w:shd w:val="clear" w:color="auto" w:fill="C1E5F5"/>
          </w:tcPr>
          <w:p>
            <w:pPr>
              <w:spacing w:after="0"/>
              <w:rPr>
                <w:sz w:val="18"/>
                <w:szCs w:val="18"/>
                <w:color w:val="auto"/>
              </w:rPr>
            </w:pPr>
          </w:p>
        </w:tc>
        <w:tc>
          <w:tcPr>
            <w:tcW w:w="900" w:type="dxa"/>
            <w:vAlign w:val="bottom"/>
            <w:shd w:val="clear" w:color="auto" w:fill="C1E5F5"/>
          </w:tcPr>
          <w:p>
            <w:pPr>
              <w:jc w:val="right"/>
              <w:spacing w:after="0"/>
              <w:rPr>
                <w:sz w:val="20"/>
                <w:szCs w:val="20"/>
                <w:color w:val="auto"/>
              </w:rPr>
            </w:pPr>
            <w:r>
              <w:rPr>
                <w:rFonts w:ascii="Times New Roman" w:cs="Times New Roman" w:eastAsia="Times New Roman" w:hAnsi="Times New Roman"/>
                <w:sz w:val="16"/>
                <w:szCs w:val="16"/>
                <w:color w:val="auto"/>
              </w:rPr>
              <w:t>(22,673)</w:t>
            </w:r>
          </w:p>
        </w:tc>
      </w:tr>
      <w:tr>
        <w:trPr>
          <w:trHeight w:val="21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Sale and redemption of portfolio investments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(19,653)</w:t>
            </w:r>
          </w:p>
        </w:tc>
      </w:tr>
      <w:tr>
        <w:trPr>
          <w:trHeight w:val="205"/>
        </w:trPr>
        <w:tc>
          <w:tcPr>
            <w:tcW w:w="3500" w:type="dxa"/>
            <w:vAlign w:val="bottom"/>
            <w:shd w:val="clear" w:color="auto" w:fill="C1E5F5"/>
          </w:tcPr>
          <w:p>
            <w:pPr>
              <w:spacing w:after="0"/>
              <w:rPr>
                <w:sz w:val="20"/>
                <w:szCs w:val="20"/>
                <w:color w:val="auto"/>
              </w:rPr>
            </w:pPr>
            <w:r>
              <w:rPr>
                <w:rFonts w:ascii="Times New Roman" w:cs="Times New Roman" w:eastAsia="Times New Roman" w:hAnsi="Times New Roman"/>
                <w:sz w:val="16"/>
                <w:szCs w:val="16"/>
                <w:color w:val="auto"/>
              </w:rPr>
              <w:t>Conversion from debt investments to equity</w:t>
            </w:r>
          </w:p>
        </w:tc>
        <w:tc>
          <w:tcPr>
            <w:tcW w:w="32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100" w:type="dxa"/>
            <w:vAlign w:val="bottom"/>
            <w:shd w:val="clear" w:color="auto" w:fill="C1E5F5"/>
          </w:tcPr>
          <w:p>
            <w:pPr>
              <w:spacing w:after="0"/>
              <w:rPr>
                <w:sz w:val="17"/>
                <w:szCs w:val="17"/>
                <w:color w:val="auto"/>
              </w:rPr>
            </w:pPr>
          </w:p>
        </w:tc>
        <w:tc>
          <w:tcPr>
            <w:tcW w:w="620" w:type="dxa"/>
            <w:vAlign w:val="bottom"/>
            <w:shd w:val="clear" w:color="auto" w:fill="C1E5F5"/>
          </w:tcPr>
          <w:p>
            <w:pPr>
              <w:spacing w:after="0"/>
              <w:rPr>
                <w:sz w:val="17"/>
                <w:szCs w:val="17"/>
                <w:color w:val="auto"/>
              </w:rPr>
            </w:pPr>
          </w:p>
        </w:tc>
        <w:tc>
          <w:tcPr>
            <w:tcW w:w="4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22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80" w:type="dxa"/>
            <w:vAlign w:val="bottom"/>
            <w:shd w:val="clear" w:color="auto" w:fill="C1E5F5"/>
          </w:tcPr>
          <w:p>
            <w:pPr>
              <w:spacing w:after="0"/>
              <w:rPr>
                <w:sz w:val="17"/>
                <w:szCs w:val="17"/>
                <w:color w:val="auto"/>
              </w:rPr>
            </w:pPr>
          </w:p>
        </w:tc>
        <w:tc>
          <w:tcPr>
            <w:tcW w:w="76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20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100" w:type="dxa"/>
            <w:vAlign w:val="bottom"/>
            <w:shd w:val="clear" w:color="auto" w:fill="C1E5F5"/>
          </w:tcPr>
          <w:p>
            <w:pPr>
              <w:spacing w:after="0"/>
              <w:rPr>
                <w:sz w:val="17"/>
                <w:szCs w:val="17"/>
                <w:color w:val="auto"/>
              </w:rPr>
            </w:pPr>
          </w:p>
        </w:tc>
        <w:tc>
          <w:tcPr>
            <w:tcW w:w="76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10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100" w:type="dxa"/>
            <w:vAlign w:val="bottom"/>
            <w:shd w:val="clear" w:color="auto" w:fill="C1E5F5"/>
          </w:tcPr>
          <w:p>
            <w:pPr>
              <w:spacing w:after="0"/>
              <w:rPr>
                <w:sz w:val="17"/>
                <w:szCs w:val="17"/>
                <w:color w:val="auto"/>
              </w:rPr>
            </w:pPr>
          </w:p>
        </w:tc>
        <w:tc>
          <w:tcPr>
            <w:tcW w:w="82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40" w:type="dxa"/>
            <w:vAlign w:val="bottom"/>
            <w:shd w:val="clear" w:color="auto" w:fill="C1E5F5"/>
          </w:tcPr>
          <w:p>
            <w:pPr>
              <w:spacing w:after="0"/>
              <w:rPr>
                <w:sz w:val="17"/>
                <w:szCs w:val="17"/>
                <w:color w:val="auto"/>
              </w:rPr>
            </w:pPr>
          </w:p>
        </w:tc>
        <w:tc>
          <w:tcPr>
            <w:tcW w:w="80" w:type="dxa"/>
            <w:vAlign w:val="bottom"/>
            <w:shd w:val="clear" w:color="auto" w:fill="C1E5F5"/>
          </w:tcPr>
          <w:p>
            <w:pPr>
              <w:spacing w:after="0"/>
              <w:rPr>
                <w:sz w:val="17"/>
                <w:szCs w:val="17"/>
                <w:color w:val="auto"/>
              </w:rPr>
            </w:pPr>
          </w:p>
        </w:tc>
        <w:tc>
          <w:tcPr>
            <w:tcW w:w="40" w:type="dxa"/>
            <w:vAlign w:val="bottom"/>
            <w:shd w:val="clear" w:color="auto" w:fill="C1E5F5"/>
          </w:tcPr>
          <w:p>
            <w:pPr>
              <w:spacing w:after="0"/>
              <w:rPr>
                <w:sz w:val="17"/>
                <w:szCs w:val="17"/>
                <w:color w:val="auto"/>
              </w:rPr>
            </w:pPr>
          </w:p>
        </w:tc>
        <w:tc>
          <w:tcPr>
            <w:tcW w:w="100" w:type="dxa"/>
            <w:vAlign w:val="bottom"/>
            <w:shd w:val="clear" w:color="auto" w:fill="C1E5F5"/>
          </w:tcPr>
          <w:p>
            <w:pPr>
              <w:spacing w:after="0"/>
              <w:rPr>
                <w:sz w:val="17"/>
                <w:szCs w:val="17"/>
                <w:color w:val="auto"/>
              </w:rPr>
            </w:pPr>
          </w:p>
        </w:tc>
        <w:tc>
          <w:tcPr>
            <w:tcW w:w="1080" w:type="dxa"/>
            <w:vAlign w:val="bottom"/>
            <w:shd w:val="clear" w:color="auto" w:fill="C1E5F5"/>
          </w:tcPr>
          <w:p>
            <w:pPr>
              <w:spacing w:after="0"/>
              <w:rPr>
                <w:sz w:val="17"/>
                <w:szCs w:val="17"/>
                <w:color w:val="auto"/>
              </w:rPr>
            </w:pPr>
          </w:p>
        </w:tc>
        <w:tc>
          <w:tcPr>
            <w:tcW w:w="40" w:type="dxa"/>
            <w:vAlign w:val="bottom"/>
            <w:shd w:val="clear" w:color="auto" w:fill="C1E5F5"/>
          </w:tcPr>
          <w:p>
            <w:pPr>
              <w:spacing w:after="0"/>
              <w:rPr>
                <w:sz w:val="17"/>
                <w:szCs w:val="17"/>
                <w:color w:val="auto"/>
              </w:rPr>
            </w:pPr>
          </w:p>
        </w:tc>
        <w:tc>
          <w:tcPr>
            <w:tcW w:w="80" w:type="dxa"/>
            <w:vAlign w:val="bottom"/>
            <w:shd w:val="clear" w:color="auto" w:fill="C1E5F5"/>
          </w:tcPr>
          <w:p>
            <w:pPr>
              <w:spacing w:after="0"/>
              <w:rPr>
                <w:sz w:val="17"/>
                <w:szCs w:val="17"/>
                <w:color w:val="auto"/>
              </w:rPr>
            </w:pPr>
          </w:p>
        </w:tc>
        <w:tc>
          <w:tcPr>
            <w:tcW w:w="40" w:type="dxa"/>
            <w:vAlign w:val="bottom"/>
            <w:shd w:val="clear" w:color="auto" w:fill="C1E5F5"/>
          </w:tcPr>
          <w:p>
            <w:pPr>
              <w:spacing w:after="0"/>
              <w:rPr>
                <w:sz w:val="17"/>
                <w:szCs w:val="17"/>
                <w:color w:val="auto"/>
              </w:rPr>
            </w:pPr>
          </w:p>
        </w:tc>
        <w:tc>
          <w:tcPr>
            <w:tcW w:w="180" w:type="dxa"/>
            <w:vAlign w:val="bottom"/>
            <w:shd w:val="clear" w:color="auto" w:fill="C1E5F5"/>
          </w:tcPr>
          <w:p>
            <w:pPr>
              <w:spacing w:after="0"/>
              <w:rPr>
                <w:sz w:val="17"/>
                <w:szCs w:val="17"/>
                <w:color w:val="auto"/>
              </w:rPr>
            </w:pPr>
          </w:p>
        </w:tc>
        <w:tc>
          <w:tcPr>
            <w:tcW w:w="900" w:type="dxa"/>
            <w:vAlign w:val="bottom"/>
            <w:shd w:val="clear" w:color="auto" w:fill="C1E5F5"/>
          </w:tcPr>
          <w:p>
            <w:pPr>
              <w:spacing w:after="0"/>
              <w:rPr>
                <w:sz w:val="17"/>
                <w:szCs w:val="17"/>
                <w:color w:val="auto"/>
              </w:rPr>
            </w:pPr>
          </w:p>
        </w:tc>
      </w:tr>
      <w:tr>
        <w:trPr>
          <w:trHeight w:val="216"/>
        </w:trPr>
        <w:tc>
          <w:tcPr>
            <w:tcW w:w="3500" w:type="dxa"/>
            <w:vAlign w:val="bottom"/>
            <w:shd w:val="clear" w:color="auto" w:fill="C1E5F5"/>
          </w:tcPr>
          <w:p>
            <w:pPr>
              <w:spacing w:after="0"/>
              <w:rPr>
                <w:sz w:val="20"/>
                <w:szCs w:val="20"/>
                <w:color w:val="auto"/>
              </w:rPr>
            </w:pPr>
            <w:r>
              <w:rPr>
                <w:rFonts w:ascii="Times New Roman" w:cs="Times New Roman" w:eastAsia="Times New Roman" w:hAnsi="Times New Roman"/>
                <w:sz w:val="16"/>
                <w:szCs w:val="16"/>
                <w:color w:val="auto"/>
              </w:rPr>
              <w:t>investments</w:t>
            </w:r>
          </w:p>
        </w:tc>
        <w:tc>
          <w:tcPr>
            <w:tcW w:w="320" w:type="dxa"/>
            <w:vAlign w:val="bottom"/>
            <w:shd w:val="clear" w:color="auto" w:fill="C1E5F5"/>
          </w:tcPr>
          <w:p>
            <w:pPr>
              <w:spacing w:after="0"/>
              <w:rPr>
                <w:sz w:val="18"/>
                <w:szCs w:val="18"/>
                <w:color w:val="auto"/>
              </w:rPr>
            </w:pPr>
          </w:p>
        </w:tc>
        <w:tc>
          <w:tcPr>
            <w:tcW w:w="120" w:type="dxa"/>
            <w:vAlign w:val="bottom"/>
            <w:shd w:val="clear" w:color="auto" w:fill="C1E5F5"/>
          </w:tcPr>
          <w:p>
            <w:pPr>
              <w:spacing w:after="0"/>
              <w:rPr>
                <w:sz w:val="18"/>
                <w:szCs w:val="18"/>
                <w:color w:val="auto"/>
              </w:rPr>
            </w:pPr>
          </w:p>
        </w:tc>
        <w:tc>
          <w:tcPr>
            <w:tcW w:w="100" w:type="dxa"/>
            <w:vAlign w:val="bottom"/>
            <w:shd w:val="clear" w:color="auto" w:fill="C1E5F5"/>
          </w:tcPr>
          <w:p>
            <w:pPr>
              <w:spacing w:after="0"/>
              <w:rPr>
                <w:sz w:val="18"/>
                <w:szCs w:val="18"/>
                <w:color w:val="auto"/>
              </w:rPr>
            </w:pPr>
          </w:p>
        </w:tc>
        <w:tc>
          <w:tcPr>
            <w:tcW w:w="620" w:type="dxa"/>
            <w:vAlign w:val="bottom"/>
            <w:shd w:val="clear" w:color="auto" w:fill="C1E5F5"/>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40" w:type="dxa"/>
            <w:vAlign w:val="bottom"/>
            <w:shd w:val="clear" w:color="auto" w:fill="C1E5F5"/>
          </w:tcPr>
          <w:p>
            <w:pPr>
              <w:spacing w:after="0"/>
              <w:rPr>
                <w:sz w:val="18"/>
                <w:szCs w:val="18"/>
                <w:color w:val="auto"/>
              </w:rPr>
            </w:pPr>
          </w:p>
        </w:tc>
        <w:tc>
          <w:tcPr>
            <w:tcW w:w="120" w:type="dxa"/>
            <w:vAlign w:val="bottom"/>
            <w:shd w:val="clear" w:color="auto" w:fill="C1E5F5"/>
          </w:tcPr>
          <w:p>
            <w:pPr>
              <w:spacing w:after="0"/>
              <w:rPr>
                <w:sz w:val="18"/>
                <w:szCs w:val="18"/>
                <w:color w:val="auto"/>
              </w:rPr>
            </w:pPr>
          </w:p>
        </w:tc>
        <w:tc>
          <w:tcPr>
            <w:tcW w:w="220" w:type="dxa"/>
            <w:vAlign w:val="bottom"/>
            <w:shd w:val="clear" w:color="auto" w:fill="C1E5F5"/>
          </w:tcPr>
          <w:p>
            <w:pPr>
              <w:spacing w:after="0"/>
              <w:rPr>
                <w:sz w:val="18"/>
                <w:szCs w:val="18"/>
                <w:color w:val="auto"/>
              </w:rPr>
            </w:pPr>
          </w:p>
        </w:tc>
        <w:tc>
          <w:tcPr>
            <w:tcW w:w="120" w:type="dxa"/>
            <w:vAlign w:val="bottom"/>
            <w:shd w:val="clear" w:color="auto" w:fill="C1E5F5"/>
          </w:tcPr>
          <w:p>
            <w:pPr>
              <w:spacing w:after="0"/>
              <w:rPr>
                <w:sz w:val="18"/>
                <w:szCs w:val="18"/>
                <w:color w:val="auto"/>
              </w:rPr>
            </w:pPr>
          </w:p>
        </w:tc>
        <w:tc>
          <w:tcPr>
            <w:tcW w:w="80" w:type="dxa"/>
            <w:vAlign w:val="bottom"/>
            <w:shd w:val="clear" w:color="auto" w:fill="C1E5F5"/>
          </w:tcPr>
          <w:p>
            <w:pPr>
              <w:spacing w:after="0"/>
              <w:rPr>
                <w:sz w:val="18"/>
                <w:szCs w:val="18"/>
                <w:color w:val="auto"/>
              </w:rPr>
            </w:pPr>
          </w:p>
        </w:tc>
        <w:tc>
          <w:tcPr>
            <w:tcW w:w="760" w:type="dxa"/>
            <w:vAlign w:val="bottom"/>
            <w:shd w:val="clear" w:color="auto" w:fill="C1E5F5"/>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1E5F5"/>
          </w:tcPr>
          <w:p>
            <w:pPr>
              <w:spacing w:after="0"/>
              <w:rPr>
                <w:sz w:val="18"/>
                <w:szCs w:val="18"/>
                <w:color w:val="auto"/>
              </w:rPr>
            </w:pPr>
          </w:p>
        </w:tc>
        <w:tc>
          <w:tcPr>
            <w:tcW w:w="200" w:type="dxa"/>
            <w:vAlign w:val="bottom"/>
            <w:shd w:val="clear" w:color="auto" w:fill="C1E5F5"/>
          </w:tcPr>
          <w:p>
            <w:pPr>
              <w:spacing w:after="0"/>
              <w:rPr>
                <w:sz w:val="18"/>
                <w:szCs w:val="18"/>
                <w:color w:val="auto"/>
              </w:rPr>
            </w:pPr>
          </w:p>
        </w:tc>
        <w:tc>
          <w:tcPr>
            <w:tcW w:w="120" w:type="dxa"/>
            <w:vAlign w:val="bottom"/>
            <w:shd w:val="clear" w:color="auto" w:fill="C1E5F5"/>
          </w:tcPr>
          <w:p>
            <w:pPr>
              <w:spacing w:after="0"/>
              <w:rPr>
                <w:sz w:val="18"/>
                <w:szCs w:val="18"/>
                <w:color w:val="auto"/>
              </w:rPr>
            </w:pPr>
          </w:p>
        </w:tc>
        <w:tc>
          <w:tcPr>
            <w:tcW w:w="100" w:type="dxa"/>
            <w:vAlign w:val="bottom"/>
            <w:shd w:val="clear" w:color="auto" w:fill="C1E5F5"/>
          </w:tcPr>
          <w:p>
            <w:pPr>
              <w:spacing w:after="0"/>
              <w:rPr>
                <w:sz w:val="18"/>
                <w:szCs w:val="18"/>
                <w:color w:val="auto"/>
              </w:rPr>
            </w:pPr>
          </w:p>
        </w:tc>
        <w:tc>
          <w:tcPr>
            <w:tcW w:w="880" w:type="dxa"/>
            <w:vAlign w:val="bottom"/>
            <w:gridSpan w:val="2"/>
            <w:shd w:val="clear" w:color="auto" w:fill="C1E5F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1E5F5"/>
          </w:tcPr>
          <w:p>
            <w:pPr>
              <w:spacing w:after="0"/>
              <w:rPr>
                <w:sz w:val="18"/>
                <w:szCs w:val="18"/>
                <w:color w:val="auto"/>
              </w:rPr>
            </w:pPr>
          </w:p>
        </w:tc>
        <w:tc>
          <w:tcPr>
            <w:tcW w:w="120" w:type="dxa"/>
            <w:vAlign w:val="bottom"/>
            <w:shd w:val="clear" w:color="auto" w:fill="C1E5F5"/>
          </w:tcPr>
          <w:p>
            <w:pPr>
              <w:spacing w:after="0"/>
              <w:rPr>
                <w:sz w:val="18"/>
                <w:szCs w:val="18"/>
                <w:color w:val="auto"/>
              </w:rPr>
            </w:pPr>
          </w:p>
        </w:tc>
        <w:tc>
          <w:tcPr>
            <w:tcW w:w="100" w:type="dxa"/>
            <w:vAlign w:val="bottom"/>
            <w:shd w:val="clear" w:color="auto" w:fill="C1E5F5"/>
          </w:tcPr>
          <w:p>
            <w:pPr>
              <w:spacing w:after="0"/>
              <w:rPr>
                <w:sz w:val="18"/>
                <w:szCs w:val="18"/>
                <w:color w:val="auto"/>
              </w:rPr>
            </w:pPr>
          </w:p>
        </w:tc>
        <w:tc>
          <w:tcPr>
            <w:tcW w:w="820" w:type="dxa"/>
            <w:vAlign w:val="bottom"/>
            <w:shd w:val="clear" w:color="auto" w:fill="C1E5F5"/>
          </w:tcPr>
          <w:p>
            <w:pPr>
              <w:jc w:val="right"/>
              <w:ind w:right="39"/>
              <w:spacing w:after="0"/>
              <w:rPr>
                <w:sz w:val="20"/>
                <w:szCs w:val="20"/>
                <w:color w:val="auto"/>
              </w:rPr>
            </w:pPr>
            <w:r>
              <w:rPr>
                <w:rFonts w:ascii="Times New Roman" w:cs="Times New Roman" w:eastAsia="Times New Roman" w:hAnsi="Times New Roman"/>
                <w:sz w:val="16"/>
                <w:szCs w:val="16"/>
                <w:color w:val="auto"/>
              </w:rPr>
              <w:t>2,992</w:t>
            </w:r>
          </w:p>
        </w:tc>
        <w:tc>
          <w:tcPr>
            <w:tcW w:w="120" w:type="dxa"/>
            <w:vAlign w:val="bottom"/>
            <w:shd w:val="clear" w:color="auto" w:fill="C1E5F5"/>
          </w:tcPr>
          <w:p>
            <w:pPr>
              <w:spacing w:after="0"/>
              <w:rPr>
                <w:sz w:val="18"/>
                <w:szCs w:val="18"/>
                <w:color w:val="auto"/>
              </w:rPr>
            </w:pPr>
          </w:p>
        </w:tc>
        <w:tc>
          <w:tcPr>
            <w:tcW w:w="40" w:type="dxa"/>
            <w:vAlign w:val="bottom"/>
            <w:shd w:val="clear" w:color="auto" w:fill="C1E5F5"/>
          </w:tcPr>
          <w:p>
            <w:pPr>
              <w:spacing w:after="0"/>
              <w:rPr>
                <w:sz w:val="18"/>
                <w:szCs w:val="18"/>
                <w:color w:val="auto"/>
              </w:rPr>
            </w:pPr>
          </w:p>
        </w:tc>
        <w:tc>
          <w:tcPr>
            <w:tcW w:w="80" w:type="dxa"/>
            <w:vAlign w:val="bottom"/>
            <w:shd w:val="clear" w:color="auto" w:fill="C1E5F5"/>
          </w:tcPr>
          <w:p>
            <w:pPr>
              <w:spacing w:after="0"/>
              <w:rPr>
                <w:sz w:val="18"/>
                <w:szCs w:val="18"/>
                <w:color w:val="auto"/>
              </w:rPr>
            </w:pPr>
          </w:p>
        </w:tc>
        <w:tc>
          <w:tcPr>
            <w:tcW w:w="40" w:type="dxa"/>
            <w:vAlign w:val="bottom"/>
            <w:shd w:val="clear" w:color="auto" w:fill="C1E5F5"/>
          </w:tcPr>
          <w:p>
            <w:pPr>
              <w:spacing w:after="0"/>
              <w:rPr>
                <w:sz w:val="18"/>
                <w:szCs w:val="18"/>
                <w:color w:val="auto"/>
              </w:rPr>
            </w:pPr>
          </w:p>
        </w:tc>
        <w:tc>
          <w:tcPr>
            <w:tcW w:w="100" w:type="dxa"/>
            <w:vAlign w:val="bottom"/>
            <w:shd w:val="clear" w:color="auto" w:fill="C1E5F5"/>
          </w:tcPr>
          <w:p>
            <w:pPr>
              <w:spacing w:after="0"/>
              <w:rPr>
                <w:sz w:val="18"/>
                <w:szCs w:val="18"/>
                <w:color w:val="auto"/>
              </w:rPr>
            </w:pPr>
          </w:p>
        </w:tc>
        <w:tc>
          <w:tcPr>
            <w:tcW w:w="1120" w:type="dxa"/>
            <w:vAlign w:val="bottom"/>
            <w:gridSpan w:val="2"/>
            <w:shd w:val="clear" w:color="auto" w:fill="C1E5F5"/>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1E5F5"/>
          </w:tcPr>
          <w:p>
            <w:pPr>
              <w:spacing w:after="0"/>
              <w:rPr>
                <w:sz w:val="18"/>
                <w:szCs w:val="18"/>
                <w:color w:val="auto"/>
              </w:rPr>
            </w:pPr>
          </w:p>
        </w:tc>
        <w:tc>
          <w:tcPr>
            <w:tcW w:w="40" w:type="dxa"/>
            <w:vAlign w:val="bottom"/>
            <w:shd w:val="clear" w:color="auto" w:fill="C1E5F5"/>
          </w:tcPr>
          <w:p>
            <w:pPr>
              <w:spacing w:after="0"/>
              <w:rPr>
                <w:sz w:val="18"/>
                <w:szCs w:val="18"/>
                <w:color w:val="auto"/>
              </w:rPr>
            </w:pPr>
          </w:p>
        </w:tc>
        <w:tc>
          <w:tcPr>
            <w:tcW w:w="180" w:type="dxa"/>
            <w:vAlign w:val="bottom"/>
            <w:shd w:val="clear" w:color="auto" w:fill="C1E5F5"/>
          </w:tcPr>
          <w:p>
            <w:pPr>
              <w:spacing w:after="0"/>
              <w:rPr>
                <w:sz w:val="18"/>
                <w:szCs w:val="18"/>
                <w:color w:val="auto"/>
              </w:rPr>
            </w:pPr>
          </w:p>
        </w:tc>
        <w:tc>
          <w:tcPr>
            <w:tcW w:w="900" w:type="dxa"/>
            <w:vAlign w:val="bottom"/>
            <w:shd w:val="clear" w:color="auto" w:fill="C1E5F5"/>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distributions received from portfolio</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(11,055)</w:t>
            </w:r>
          </w:p>
        </w:tc>
      </w:tr>
      <w:tr>
        <w:trPr>
          <w:trHeight w:val="219"/>
        </w:trPr>
        <w:tc>
          <w:tcPr>
            <w:tcW w:w="3500" w:type="dxa"/>
            <w:vAlign w:val="bottom"/>
            <w:tcBorders>
              <w:bottom w:val="single" w:sz="8" w:color="C1E5F5"/>
            </w:tcBorders>
            <w:shd w:val="clear" w:color="auto" w:fill="C1E5F5"/>
          </w:tcPr>
          <w:p>
            <w:pPr>
              <w:spacing w:after="0"/>
              <w:rPr>
                <w:sz w:val="20"/>
                <w:szCs w:val="20"/>
                <w:color w:val="auto"/>
              </w:rPr>
            </w:pPr>
            <w:r>
              <w:rPr>
                <w:rFonts w:ascii="Times New Roman" w:cs="Times New Roman" w:eastAsia="Times New Roman" w:hAnsi="Times New Roman"/>
                <w:sz w:val="16"/>
                <w:szCs w:val="16"/>
                <w:color w:val="auto"/>
              </w:rPr>
              <w:t>Transfers from Level 3 to Level 2</w:t>
            </w:r>
          </w:p>
        </w:tc>
        <w:tc>
          <w:tcPr>
            <w:tcW w:w="320" w:type="dxa"/>
            <w:vAlign w:val="bottom"/>
            <w:tcBorders>
              <w:bottom w:val="single" w:sz="8" w:color="auto"/>
            </w:tcBorders>
            <w:shd w:val="clear" w:color="auto" w:fill="C1E5F5"/>
          </w:tcPr>
          <w:p>
            <w:pPr>
              <w:spacing w:after="0"/>
              <w:rPr>
                <w:sz w:val="19"/>
                <w:szCs w:val="19"/>
                <w:color w:val="auto"/>
              </w:rPr>
            </w:pPr>
          </w:p>
        </w:tc>
        <w:tc>
          <w:tcPr>
            <w:tcW w:w="120" w:type="dxa"/>
            <w:vAlign w:val="bottom"/>
            <w:tcBorders>
              <w:bottom w:val="single" w:sz="8" w:color="auto"/>
            </w:tcBorders>
            <w:shd w:val="clear" w:color="auto" w:fill="C1E5F5"/>
          </w:tcPr>
          <w:p>
            <w:pPr>
              <w:spacing w:after="0"/>
              <w:rPr>
                <w:sz w:val="19"/>
                <w:szCs w:val="19"/>
                <w:color w:val="auto"/>
              </w:rPr>
            </w:pPr>
          </w:p>
        </w:tc>
        <w:tc>
          <w:tcPr>
            <w:tcW w:w="100" w:type="dxa"/>
            <w:vAlign w:val="bottom"/>
            <w:tcBorders>
              <w:bottom w:val="single" w:sz="8" w:color="auto"/>
            </w:tcBorders>
            <w:shd w:val="clear" w:color="auto" w:fill="C1E5F5"/>
          </w:tcPr>
          <w:p>
            <w:pPr>
              <w:spacing w:after="0"/>
              <w:rPr>
                <w:sz w:val="19"/>
                <w:szCs w:val="19"/>
                <w:color w:val="auto"/>
              </w:rPr>
            </w:pPr>
          </w:p>
        </w:tc>
        <w:tc>
          <w:tcPr>
            <w:tcW w:w="620" w:type="dxa"/>
            <w:vAlign w:val="bottom"/>
            <w:tcBorders>
              <w:bottom w:val="single" w:sz="8" w:color="auto"/>
            </w:tcBorders>
            <w:shd w:val="clear" w:color="auto" w:fill="C1E5F5"/>
          </w:tcPr>
          <w:p>
            <w:pPr>
              <w:jc w:val="right"/>
              <w:spacing w:after="0"/>
              <w:rPr>
                <w:sz w:val="20"/>
                <w:szCs w:val="20"/>
                <w:color w:val="auto"/>
              </w:rPr>
            </w:pPr>
            <w:r>
              <w:rPr>
                <w:rFonts w:ascii="Times New Roman" w:cs="Times New Roman" w:eastAsia="Times New Roman" w:hAnsi="Times New Roman"/>
                <w:sz w:val="16"/>
                <w:szCs w:val="16"/>
                <w:color w:val="auto"/>
              </w:rPr>
              <w:t>(3,954)</w:t>
            </w:r>
          </w:p>
        </w:tc>
        <w:tc>
          <w:tcPr>
            <w:tcW w:w="40" w:type="dxa"/>
            <w:vAlign w:val="bottom"/>
            <w:tcBorders>
              <w:bottom w:val="single" w:sz="8" w:color="auto"/>
            </w:tcBorders>
            <w:shd w:val="clear" w:color="auto" w:fill="C1E5F5"/>
          </w:tcPr>
          <w:p>
            <w:pPr>
              <w:spacing w:after="0"/>
              <w:rPr>
                <w:sz w:val="19"/>
                <w:szCs w:val="19"/>
                <w:color w:val="auto"/>
              </w:rPr>
            </w:pPr>
          </w:p>
        </w:tc>
        <w:tc>
          <w:tcPr>
            <w:tcW w:w="120" w:type="dxa"/>
            <w:vAlign w:val="bottom"/>
            <w:tcBorders>
              <w:bottom w:val="single" w:sz="8" w:color="C1E5F5"/>
            </w:tcBorders>
            <w:shd w:val="clear" w:color="auto" w:fill="C1E5F5"/>
          </w:tcPr>
          <w:p>
            <w:pPr>
              <w:spacing w:after="0"/>
              <w:rPr>
                <w:sz w:val="19"/>
                <w:szCs w:val="19"/>
                <w:color w:val="auto"/>
              </w:rPr>
            </w:pPr>
          </w:p>
        </w:tc>
        <w:tc>
          <w:tcPr>
            <w:tcW w:w="220" w:type="dxa"/>
            <w:vAlign w:val="bottom"/>
            <w:tcBorders>
              <w:bottom w:val="single" w:sz="8" w:color="auto"/>
            </w:tcBorders>
            <w:shd w:val="clear" w:color="auto" w:fill="C1E5F5"/>
          </w:tcPr>
          <w:p>
            <w:pPr>
              <w:spacing w:after="0"/>
              <w:rPr>
                <w:sz w:val="19"/>
                <w:szCs w:val="19"/>
                <w:color w:val="auto"/>
              </w:rPr>
            </w:pPr>
          </w:p>
        </w:tc>
        <w:tc>
          <w:tcPr>
            <w:tcW w:w="120" w:type="dxa"/>
            <w:vAlign w:val="bottom"/>
            <w:tcBorders>
              <w:bottom w:val="single" w:sz="8" w:color="auto"/>
            </w:tcBorders>
            <w:shd w:val="clear" w:color="auto" w:fill="C1E5F5"/>
          </w:tcPr>
          <w:p>
            <w:pPr>
              <w:spacing w:after="0"/>
              <w:rPr>
                <w:sz w:val="19"/>
                <w:szCs w:val="19"/>
                <w:color w:val="auto"/>
              </w:rPr>
            </w:pPr>
          </w:p>
        </w:tc>
        <w:tc>
          <w:tcPr>
            <w:tcW w:w="80" w:type="dxa"/>
            <w:vAlign w:val="bottom"/>
            <w:tcBorders>
              <w:bottom w:val="single" w:sz="8" w:color="auto"/>
            </w:tcBorders>
            <w:shd w:val="clear" w:color="auto" w:fill="C1E5F5"/>
          </w:tcPr>
          <w:p>
            <w:pPr>
              <w:spacing w:after="0"/>
              <w:rPr>
                <w:sz w:val="19"/>
                <w:szCs w:val="19"/>
                <w:color w:val="auto"/>
              </w:rPr>
            </w:pPr>
          </w:p>
        </w:tc>
        <w:tc>
          <w:tcPr>
            <w:tcW w:w="760" w:type="dxa"/>
            <w:vAlign w:val="bottom"/>
            <w:tcBorders>
              <w:bottom w:val="single" w:sz="8" w:color="auto"/>
            </w:tcBorders>
            <w:shd w:val="clear" w:color="auto" w:fill="C1E5F5"/>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1E5F5"/>
            </w:tcBorders>
            <w:shd w:val="clear" w:color="auto" w:fill="C1E5F5"/>
          </w:tcPr>
          <w:p>
            <w:pPr>
              <w:spacing w:after="0"/>
              <w:rPr>
                <w:sz w:val="19"/>
                <w:szCs w:val="19"/>
                <w:color w:val="auto"/>
              </w:rPr>
            </w:pPr>
          </w:p>
        </w:tc>
        <w:tc>
          <w:tcPr>
            <w:tcW w:w="200" w:type="dxa"/>
            <w:vAlign w:val="bottom"/>
            <w:tcBorders>
              <w:bottom w:val="single" w:sz="8" w:color="auto"/>
            </w:tcBorders>
            <w:shd w:val="clear" w:color="auto" w:fill="C1E5F5"/>
          </w:tcPr>
          <w:p>
            <w:pPr>
              <w:spacing w:after="0"/>
              <w:rPr>
                <w:sz w:val="19"/>
                <w:szCs w:val="19"/>
                <w:color w:val="auto"/>
              </w:rPr>
            </w:pPr>
          </w:p>
        </w:tc>
        <w:tc>
          <w:tcPr>
            <w:tcW w:w="120" w:type="dxa"/>
            <w:vAlign w:val="bottom"/>
            <w:tcBorders>
              <w:bottom w:val="single" w:sz="8" w:color="auto"/>
            </w:tcBorders>
            <w:shd w:val="clear" w:color="auto" w:fill="C1E5F5"/>
          </w:tcPr>
          <w:p>
            <w:pPr>
              <w:spacing w:after="0"/>
              <w:rPr>
                <w:sz w:val="19"/>
                <w:szCs w:val="19"/>
                <w:color w:val="auto"/>
              </w:rPr>
            </w:pPr>
          </w:p>
        </w:tc>
        <w:tc>
          <w:tcPr>
            <w:tcW w:w="100" w:type="dxa"/>
            <w:vAlign w:val="bottom"/>
            <w:tcBorders>
              <w:bottom w:val="single" w:sz="8" w:color="auto"/>
            </w:tcBorders>
            <w:shd w:val="clear" w:color="auto" w:fill="C1E5F5"/>
          </w:tcPr>
          <w:p>
            <w:pPr>
              <w:spacing w:after="0"/>
              <w:rPr>
                <w:sz w:val="19"/>
                <w:szCs w:val="19"/>
                <w:color w:val="auto"/>
              </w:rPr>
            </w:pPr>
          </w:p>
        </w:tc>
        <w:tc>
          <w:tcPr>
            <w:tcW w:w="760" w:type="dxa"/>
            <w:vAlign w:val="bottom"/>
            <w:tcBorders>
              <w:bottom w:val="single" w:sz="8" w:color="auto"/>
            </w:tcBorders>
            <w:shd w:val="clear" w:color="auto" w:fill="C1E5F5"/>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1E5F5"/>
            </w:tcBorders>
            <w:shd w:val="clear" w:color="auto" w:fill="C1E5F5"/>
          </w:tcPr>
          <w:p>
            <w:pPr>
              <w:spacing w:after="0"/>
              <w:rPr>
                <w:sz w:val="19"/>
                <w:szCs w:val="19"/>
                <w:color w:val="auto"/>
              </w:rPr>
            </w:pPr>
          </w:p>
        </w:tc>
        <w:tc>
          <w:tcPr>
            <w:tcW w:w="100" w:type="dxa"/>
            <w:vAlign w:val="bottom"/>
            <w:tcBorders>
              <w:bottom w:val="single" w:sz="8" w:color="auto"/>
            </w:tcBorders>
            <w:shd w:val="clear" w:color="auto" w:fill="C1E5F5"/>
          </w:tcPr>
          <w:p>
            <w:pPr>
              <w:spacing w:after="0"/>
              <w:rPr>
                <w:sz w:val="19"/>
                <w:szCs w:val="19"/>
                <w:color w:val="auto"/>
              </w:rPr>
            </w:pPr>
          </w:p>
        </w:tc>
        <w:tc>
          <w:tcPr>
            <w:tcW w:w="120" w:type="dxa"/>
            <w:vAlign w:val="bottom"/>
            <w:tcBorders>
              <w:bottom w:val="single" w:sz="8" w:color="auto"/>
            </w:tcBorders>
            <w:shd w:val="clear" w:color="auto" w:fill="C1E5F5"/>
          </w:tcPr>
          <w:p>
            <w:pPr>
              <w:spacing w:after="0"/>
              <w:rPr>
                <w:sz w:val="19"/>
                <w:szCs w:val="19"/>
                <w:color w:val="auto"/>
              </w:rPr>
            </w:pPr>
          </w:p>
        </w:tc>
        <w:tc>
          <w:tcPr>
            <w:tcW w:w="100" w:type="dxa"/>
            <w:vAlign w:val="bottom"/>
            <w:tcBorders>
              <w:bottom w:val="single" w:sz="8" w:color="auto"/>
            </w:tcBorders>
            <w:shd w:val="clear" w:color="auto" w:fill="C1E5F5"/>
          </w:tcPr>
          <w:p>
            <w:pPr>
              <w:spacing w:after="0"/>
              <w:rPr>
                <w:sz w:val="19"/>
                <w:szCs w:val="19"/>
                <w:color w:val="auto"/>
              </w:rPr>
            </w:pPr>
          </w:p>
        </w:tc>
        <w:tc>
          <w:tcPr>
            <w:tcW w:w="820" w:type="dxa"/>
            <w:vAlign w:val="bottom"/>
            <w:tcBorders>
              <w:bottom w:val="single" w:sz="8" w:color="auto"/>
            </w:tcBorders>
            <w:shd w:val="clear" w:color="auto" w:fill="C1E5F5"/>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1E5F5"/>
            </w:tcBorders>
            <w:shd w:val="clear" w:color="auto" w:fill="C1E5F5"/>
          </w:tcPr>
          <w:p>
            <w:pPr>
              <w:spacing w:after="0"/>
              <w:rPr>
                <w:sz w:val="19"/>
                <w:szCs w:val="19"/>
                <w:color w:val="auto"/>
              </w:rPr>
            </w:pPr>
          </w:p>
        </w:tc>
        <w:tc>
          <w:tcPr>
            <w:tcW w:w="40" w:type="dxa"/>
            <w:vAlign w:val="bottom"/>
            <w:tcBorders>
              <w:bottom w:val="single" w:sz="8" w:color="auto"/>
            </w:tcBorders>
            <w:shd w:val="clear" w:color="auto" w:fill="C1E5F5"/>
          </w:tcPr>
          <w:p>
            <w:pPr>
              <w:spacing w:after="0"/>
              <w:rPr>
                <w:sz w:val="19"/>
                <w:szCs w:val="19"/>
                <w:color w:val="auto"/>
              </w:rPr>
            </w:pPr>
          </w:p>
        </w:tc>
        <w:tc>
          <w:tcPr>
            <w:tcW w:w="80" w:type="dxa"/>
            <w:vAlign w:val="bottom"/>
            <w:tcBorders>
              <w:bottom w:val="single" w:sz="8" w:color="auto"/>
            </w:tcBorders>
            <w:shd w:val="clear" w:color="auto" w:fill="C1E5F5"/>
          </w:tcPr>
          <w:p>
            <w:pPr>
              <w:spacing w:after="0"/>
              <w:rPr>
                <w:sz w:val="19"/>
                <w:szCs w:val="19"/>
                <w:color w:val="auto"/>
              </w:rPr>
            </w:pPr>
          </w:p>
        </w:tc>
        <w:tc>
          <w:tcPr>
            <w:tcW w:w="40" w:type="dxa"/>
            <w:vAlign w:val="bottom"/>
            <w:tcBorders>
              <w:bottom w:val="single" w:sz="8" w:color="auto"/>
            </w:tcBorders>
            <w:shd w:val="clear" w:color="auto" w:fill="C1E5F5"/>
          </w:tcPr>
          <w:p>
            <w:pPr>
              <w:spacing w:after="0"/>
              <w:rPr>
                <w:sz w:val="19"/>
                <w:szCs w:val="19"/>
                <w:color w:val="auto"/>
              </w:rPr>
            </w:pPr>
          </w:p>
        </w:tc>
        <w:tc>
          <w:tcPr>
            <w:tcW w:w="100" w:type="dxa"/>
            <w:vAlign w:val="bottom"/>
            <w:tcBorders>
              <w:bottom w:val="single" w:sz="8" w:color="auto"/>
            </w:tcBorders>
            <w:shd w:val="clear" w:color="auto" w:fill="C1E5F5"/>
          </w:tcPr>
          <w:p>
            <w:pPr>
              <w:spacing w:after="0"/>
              <w:rPr>
                <w:sz w:val="19"/>
                <w:szCs w:val="19"/>
                <w:color w:val="auto"/>
              </w:rPr>
            </w:pPr>
          </w:p>
        </w:tc>
        <w:tc>
          <w:tcPr>
            <w:tcW w:w="1080" w:type="dxa"/>
            <w:vAlign w:val="bottom"/>
            <w:tcBorders>
              <w:bottom w:val="single" w:sz="8" w:color="auto"/>
            </w:tcBorders>
            <w:shd w:val="clear" w:color="auto" w:fill="C1E5F5"/>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1E5F5"/>
            </w:tcBorders>
            <w:shd w:val="clear" w:color="auto" w:fill="C1E5F5"/>
          </w:tcPr>
          <w:p>
            <w:pPr>
              <w:spacing w:after="0"/>
              <w:rPr>
                <w:sz w:val="19"/>
                <w:szCs w:val="19"/>
                <w:color w:val="auto"/>
              </w:rPr>
            </w:pPr>
          </w:p>
        </w:tc>
        <w:tc>
          <w:tcPr>
            <w:tcW w:w="80" w:type="dxa"/>
            <w:vAlign w:val="bottom"/>
            <w:tcBorders>
              <w:bottom w:val="single" w:sz="8" w:color="C1E5F5"/>
            </w:tcBorders>
            <w:shd w:val="clear" w:color="auto" w:fill="C1E5F5"/>
          </w:tcPr>
          <w:p>
            <w:pPr>
              <w:spacing w:after="0"/>
              <w:rPr>
                <w:sz w:val="19"/>
                <w:szCs w:val="19"/>
                <w:color w:val="auto"/>
              </w:rPr>
            </w:pPr>
          </w:p>
        </w:tc>
        <w:tc>
          <w:tcPr>
            <w:tcW w:w="40" w:type="dxa"/>
            <w:vAlign w:val="bottom"/>
            <w:tcBorders>
              <w:bottom w:val="single" w:sz="8" w:color="auto"/>
            </w:tcBorders>
            <w:shd w:val="clear" w:color="auto" w:fill="C1E5F5"/>
          </w:tcPr>
          <w:p>
            <w:pPr>
              <w:spacing w:after="0"/>
              <w:rPr>
                <w:sz w:val="19"/>
                <w:szCs w:val="19"/>
                <w:color w:val="auto"/>
              </w:rPr>
            </w:pPr>
          </w:p>
        </w:tc>
        <w:tc>
          <w:tcPr>
            <w:tcW w:w="180" w:type="dxa"/>
            <w:vAlign w:val="bottom"/>
            <w:tcBorders>
              <w:bottom w:val="single" w:sz="8" w:color="auto"/>
            </w:tcBorders>
            <w:shd w:val="clear" w:color="auto" w:fill="C1E5F5"/>
          </w:tcPr>
          <w:p>
            <w:pPr>
              <w:spacing w:after="0"/>
              <w:rPr>
                <w:sz w:val="19"/>
                <w:szCs w:val="19"/>
                <w:color w:val="auto"/>
              </w:rPr>
            </w:pPr>
          </w:p>
        </w:tc>
        <w:tc>
          <w:tcPr>
            <w:tcW w:w="900" w:type="dxa"/>
            <w:vAlign w:val="bottom"/>
            <w:tcBorders>
              <w:bottom w:val="single" w:sz="8" w:color="auto"/>
            </w:tcBorders>
            <w:shd w:val="clear" w:color="auto" w:fill="C1E5F5"/>
          </w:tcPr>
          <w:p>
            <w:pPr>
              <w:jc w:val="right"/>
              <w:spacing w:after="0"/>
              <w:rPr>
                <w:sz w:val="20"/>
                <w:szCs w:val="20"/>
                <w:color w:val="auto"/>
              </w:rPr>
            </w:pPr>
            <w:r>
              <w:rPr>
                <w:rFonts w:ascii="Times New Roman" w:cs="Times New Roman" w:eastAsia="Times New Roman" w:hAnsi="Times New Roman"/>
                <w:sz w:val="16"/>
                <w:szCs w:val="16"/>
                <w:color w:val="auto"/>
              </w:rPr>
              <w:t>(3,954)</w:t>
            </w: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Level 3 assets, September 30, 2025</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6"/>
              </w:rPr>
              <w:t>163,836</w:t>
            </w:r>
          </w:p>
        </w:tc>
        <w:tc>
          <w:tcPr>
            <w:tcW w:w="38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24,471</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12,997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85,433</w:t>
            </w:r>
          </w:p>
        </w:tc>
        <w:tc>
          <w:tcPr>
            <w:tcW w:w="120" w:type="dxa"/>
            <w:vAlign w:val="bottom"/>
          </w:tcPr>
          <w:p>
            <w:pPr>
              <w:spacing w:after="0"/>
              <w:rPr>
                <w:sz w:val="18"/>
                <w:szCs w:val="18"/>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66,177</w:t>
            </w:r>
          </w:p>
        </w:tc>
        <w:tc>
          <w:tcPr>
            <w:tcW w:w="40" w:type="dxa"/>
            <w:vAlign w:val="bottom"/>
          </w:tcPr>
          <w:p>
            <w:pPr>
              <w:spacing w:after="0"/>
              <w:rPr>
                <w:sz w:val="18"/>
                <w:szCs w:val="18"/>
                <w:color w:val="auto"/>
              </w:rPr>
            </w:pPr>
          </w:p>
        </w:tc>
        <w:tc>
          <w:tcPr>
            <w:tcW w:w="30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352,914</w:t>
            </w:r>
          </w:p>
        </w:tc>
      </w:tr>
      <w:tr>
        <w:trPr>
          <w:trHeight w:val="20"/>
        </w:trPr>
        <w:tc>
          <w:tcPr>
            <w:tcW w:w="3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-3394075</wp:posOffset>
            </wp:positionV>
            <wp:extent cx="7747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-3376930</wp:posOffset>
            </wp:positionV>
            <wp:extent cx="774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-3539490</wp:posOffset>
            </wp:positionV>
            <wp:extent cx="774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-3394075</wp:posOffset>
            </wp:positionV>
            <wp:extent cx="7747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-3376930</wp:posOffset>
            </wp:positionV>
            <wp:extent cx="774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-3539490</wp:posOffset>
            </wp:positionV>
            <wp:extent cx="774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4770120</wp:posOffset>
            </wp:positionH>
            <wp:positionV relativeFrom="paragraph">
              <wp:posOffset>-3394075</wp:posOffset>
            </wp:positionV>
            <wp:extent cx="7747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4770120</wp:posOffset>
            </wp:positionH>
            <wp:positionV relativeFrom="paragraph">
              <wp:posOffset>-3376930</wp:posOffset>
            </wp:positionV>
            <wp:extent cx="774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4770120</wp:posOffset>
            </wp:positionH>
            <wp:positionV relativeFrom="paragraph">
              <wp:posOffset>-3539490</wp:posOffset>
            </wp:positionV>
            <wp:extent cx="774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5541645</wp:posOffset>
            </wp:positionH>
            <wp:positionV relativeFrom="paragraph">
              <wp:posOffset>-3394075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5541645</wp:posOffset>
            </wp:positionH>
            <wp:positionV relativeFrom="paragraph">
              <wp:posOffset>-3376930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5541645</wp:posOffset>
            </wp:positionH>
            <wp:positionV relativeFrom="paragraph">
              <wp:posOffset>-3539490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6390640</wp:posOffset>
            </wp:positionH>
            <wp:positionV relativeFrom="paragraph">
              <wp:posOffset>-3394075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6390640</wp:posOffset>
            </wp:positionH>
            <wp:positionV relativeFrom="paragraph">
              <wp:posOffset>-3376930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6390640</wp:posOffset>
            </wp:positionH>
            <wp:positionV relativeFrom="paragraph">
              <wp:posOffset>-3539490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-170815</wp:posOffset>
            </wp:positionV>
            <wp:extent cx="77470" cy="1714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3810000</wp:posOffset>
            </wp:positionH>
            <wp:positionV relativeFrom="paragraph">
              <wp:posOffset>-170815</wp:posOffset>
            </wp:positionV>
            <wp:extent cx="76835" cy="1714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4641850</wp:posOffset>
            </wp:positionH>
            <wp:positionV relativeFrom="paragraph">
              <wp:posOffset>-170815</wp:posOffset>
            </wp:positionV>
            <wp:extent cx="68580" cy="1714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5438775</wp:posOffset>
            </wp:positionH>
            <wp:positionV relativeFrom="paragraph">
              <wp:posOffset>-170815</wp:posOffset>
            </wp:positionV>
            <wp:extent cx="76835" cy="1714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-170815</wp:posOffset>
            </wp:positionV>
            <wp:extent cx="76835" cy="1714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17145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38" w:name="page39"/>
    <w:bookmarkEnd w:id="38"/>
    <w:p>
      <w:pPr>
        <w:ind w:left="7"/>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207" w:lineRule="exact"/>
        <w:rPr>
          <w:sz w:val="20"/>
          <w:szCs w:val="20"/>
          <w:color w:val="auto"/>
        </w:rPr>
      </w:pPr>
    </w:p>
    <w:p>
      <w:pPr>
        <w:ind w:left="7" w:right="100"/>
        <w:spacing w:after="0" w:line="282" w:lineRule="auto"/>
        <w:rPr>
          <w:sz w:val="20"/>
          <w:szCs w:val="20"/>
          <w:color w:val="auto"/>
        </w:rPr>
      </w:pPr>
      <w:r>
        <w:rPr>
          <w:rFonts w:ascii="Times New Roman" w:cs="Times New Roman" w:eastAsia="Times New Roman" w:hAnsi="Times New Roman"/>
          <w:sz w:val="18"/>
          <w:szCs w:val="18"/>
          <w:color w:val="auto"/>
        </w:rPr>
        <w:t>The net unrealized depreciation reported in the Company’s consolidated statements of operations for the nine months ended September 30, 2026 and 2025, attributable to the Company’s Level 3 assets still held at those respective period ends, was as follows:</w:t>
      </w:r>
    </w:p>
    <w:p>
      <w:pPr>
        <w:spacing w:after="0" w:line="104" w:lineRule="exact"/>
        <w:rPr>
          <w:sz w:val="20"/>
          <w:szCs w:val="20"/>
          <w:color w:val="auto"/>
        </w:rPr>
      </w:pPr>
    </w:p>
    <w:tbl>
      <w:tblPr>
        <w:tblLayout w:type="fixed"/>
        <w:tblInd w:w="7"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Borders>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investments</w:t>
            </w: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61"/>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w:t>
            </w:r>
          </w:p>
        </w:tc>
      </w:tr>
      <w:tr>
        <w:trPr>
          <w:trHeight w:val="22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(16,833)</w:t>
            </w:r>
          </w:p>
        </w:tc>
      </w:tr>
      <w:tr>
        <w:trPr>
          <w:trHeight w:val="229"/>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(5,859)</w:t>
            </w:r>
          </w:p>
        </w:tc>
      </w:tr>
      <w:tr>
        <w:trPr>
          <w:trHeight w:val="223"/>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depreciation on investments held</w:t>
            </w:r>
          </w:p>
        </w:tc>
        <w:tc>
          <w:tcPr>
            <w:tcW w:w="1020" w:type="dxa"/>
            <w:vAlign w:val="bottom"/>
            <w:gridSpan w:val="2"/>
          </w:tcPr>
          <w:p>
            <w:pPr>
              <w:jc w:val="right"/>
              <w:ind w:right="861"/>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(18,330)</w:t>
            </w:r>
          </w:p>
        </w:tc>
        <w:tc>
          <w:tcPr>
            <w:tcW w:w="54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(26,348)</w:t>
            </w:r>
          </w:p>
        </w:tc>
      </w:tr>
      <w:tr>
        <w:trPr>
          <w:trHeight w:val="20"/>
        </w:trPr>
        <w:tc>
          <w:tcPr>
            <w:tcW w:w="7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-179705</wp:posOffset>
            </wp:positionV>
            <wp:extent cx="120015" cy="1803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0015" cy="180340"/>
                    </a:xfrm>
                    <a:prstGeom prst="rect">
                      <a:avLst/>
                    </a:prstGeom>
                    <a:noFill/>
                  </pic:spPr>
                </pic:pic>
              </a:graphicData>
            </a:graphic>
          </wp:anchor>
        </w:drawing>
      </w:r>
    </w:p>
    <w:p>
      <w:pPr>
        <w:spacing w:after="0" w:line="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Other Financial Assets and Liabilities</w:t>
      </w:r>
    </w:p>
    <w:p>
      <w:pPr>
        <w:spacing w:after="0" w:line="121" w:lineRule="exact"/>
        <w:rPr>
          <w:sz w:val="20"/>
          <w:szCs w:val="20"/>
          <w:color w:val="auto"/>
        </w:rPr>
      </w:pPr>
    </w:p>
    <w:p>
      <w:pPr>
        <w:ind w:left="7" w:right="120"/>
        <w:spacing w:after="0" w:line="261" w:lineRule="auto"/>
        <w:rPr>
          <w:sz w:val="20"/>
          <w:szCs w:val="20"/>
          <w:color w:val="auto"/>
        </w:rPr>
      </w:pPr>
      <w:r>
        <w:rPr>
          <w:rFonts w:ascii="Times New Roman" w:cs="Times New Roman" w:eastAsia="Times New Roman" w:hAnsi="Times New Roman"/>
          <w:sz w:val="18"/>
          <w:szCs w:val="18"/>
          <w:color w:val="auto"/>
        </w:rPr>
        <w:t>GAAP requires disclosure of the fair value of financial instruments not reported at fair value on a recurring basis for which it is practical to estimate such values. The Company believes that the carrying amounts of its other financial instruments, such as cash, cash equivalents, receivables and payables approximate the fair value of such items due to the short maturity of such financial instruments. The Banc of California Credit Facility and Natixis Facility are variable rate instruments and fair value is estimated to approximate carrying value.</w:t>
      </w:r>
    </w:p>
    <w:p>
      <w:pPr>
        <w:spacing w:after="0" w:line="7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The following table sets forth carrying values and fair values of the Company’s debt as of September 30, 2026 and December 31, 2025:</w:t>
      </w:r>
    </w:p>
    <w:p>
      <w:pPr>
        <w:spacing w:after="0" w:line="167" w:lineRule="exact"/>
        <w:rPr>
          <w:sz w:val="20"/>
          <w:szCs w:val="20"/>
          <w:color w:val="auto"/>
        </w:rPr>
      </w:pPr>
    </w:p>
    <w:tbl>
      <w:tblPr>
        <w:tblLayout w:type="fixed"/>
        <w:tblInd w:w="7"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69"/>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70"/>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0" w:type="dxa"/>
            <w:vAlign w:val="bottom"/>
          </w:tcPr>
          <w:p>
            <w:pPr>
              <w:spacing w:after="0"/>
              <w:rPr>
                <w:sz w:val="23"/>
                <w:szCs w:val="23"/>
                <w:color w:val="auto"/>
              </w:rPr>
            </w:pPr>
          </w:p>
        </w:tc>
        <w:tc>
          <w:tcPr>
            <w:tcW w:w="1280" w:type="dxa"/>
            <w:vAlign w:val="bottom"/>
          </w:tcPr>
          <w:p>
            <w:pPr>
              <w:jc w:val="right"/>
              <w:ind w:right="430"/>
              <w:spacing w:after="0" w:line="270" w:lineRule="exact"/>
              <w:rPr>
                <w:sz w:val="20"/>
                <w:szCs w:val="20"/>
                <w:color w:val="auto"/>
              </w:rPr>
            </w:pPr>
            <w:r>
              <w:rPr>
                <w:rFonts w:ascii="Times New Roman" w:cs="Times New Roman" w:eastAsia="Times New Roman" w:hAnsi="Times New Roman"/>
                <w:sz w:val="18"/>
                <w:szCs w:val="18"/>
                <w:b w:val="1"/>
                <w:bCs w:val="1"/>
                <w:color w:val="auto"/>
              </w:rPr>
              <w:t>Value</w:t>
            </w:r>
            <w:r>
              <w:rPr>
                <w:rFonts w:ascii="Times New Roman" w:cs="Times New Roman" w:eastAsia="Times New Roman" w:hAnsi="Times New Roman"/>
                <w:sz w:val="24"/>
                <w:szCs w:val="24"/>
                <w:b w:val="1"/>
                <w:bCs w:val="1"/>
                <w:color w:val="auto"/>
                <w:vertAlign w:val="superscript"/>
              </w:rPr>
              <w:t>(1)</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410"/>
              <w:spacing w:after="0" w:line="270" w:lineRule="exact"/>
              <w:rPr>
                <w:sz w:val="20"/>
                <w:szCs w:val="20"/>
                <w:color w:val="auto"/>
              </w:rPr>
            </w:pPr>
            <w:r>
              <w:rPr>
                <w:rFonts w:ascii="Times New Roman" w:cs="Times New Roman" w:eastAsia="Times New Roman" w:hAnsi="Times New Roman"/>
                <w:sz w:val="18"/>
                <w:szCs w:val="18"/>
                <w:b w:val="1"/>
                <w:bCs w:val="1"/>
                <w:color w:val="auto"/>
              </w:rPr>
              <w:t>Value</w:t>
            </w:r>
            <w:r>
              <w:rPr>
                <w:rFonts w:ascii="Times New Roman" w:cs="Times New Roman" w:eastAsia="Times New Roman" w:hAnsi="Times New Roman"/>
                <w:sz w:val="24"/>
                <w:szCs w:val="24"/>
                <w:b w:val="1"/>
                <w:bCs w:val="1"/>
                <w:color w:val="auto"/>
                <w:vertAlign w:val="superscript"/>
              </w:rPr>
              <w:t>(1)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4800" w:type="dxa"/>
            <w:vAlign w:val="bottom"/>
            <w:tcBorders>
              <w:top w:val="single" w:sz="8" w:color="auto"/>
            </w:tcBorders>
            <w:shd w:val="clear" w:color="auto" w:fill="CFF0FC"/>
          </w:tcPr>
          <w:p>
            <w:pPr>
              <w:spacing w:after="0" w:line="222" w:lineRule="exact"/>
              <w:rPr>
                <w:sz w:val="20"/>
                <w:szCs w:val="20"/>
                <w:color w:val="auto"/>
              </w:rPr>
            </w:pPr>
            <w:r>
              <w:rPr>
                <w:rFonts w:ascii="Times New Roman" w:cs="Times New Roman" w:eastAsia="Times New Roman" w:hAnsi="Times New Roman"/>
                <w:sz w:val="18"/>
                <w:szCs w:val="18"/>
                <w:color w:val="auto"/>
              </w:rPr>
              <w:t>Banc of California Credit Facility</w:t>
            </w:r>
            <w:r>
              <w:rPr>
                <w:rFonts w:ascii="Times New Roman" w:cs="Times New Roman" w:eastAsia="Times New Roman" w:hAnsi="Times New Roman"/>
                <w:sz w:val="24"/>
                <w:szCs w:val="24"/>
                <w:color w:val="auto"/>
                <w:vertAlign w:val="superscript"/>
              </w:rPr>
              <w:t>(2)</w:t>
            </w:r>
          </w:p>
        </w:tc>
        <w:tc>
          <w:tcPr>
            <w:tcW w:w="1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4,500</w:t>
            </w:r>
          </w:p>
        </w:tc>
        <w:tc>
          <w:tcPr>
            <w:tcW w:w="1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4,500</w:t>
            </w:r>
          </w:p>
        </w:tc>
      </w:tr>
      <w:tr>
        <w:trPr>
          <w:trHeight w:val="243"/>
        </w:trPr>
        <w:tc>
          <w:tcPr>
            <w:tcW w:w="494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BNP Facility</w:t>
            </w:r>
            <w:r>
              <w:rPr>
                <w:rFonts w:ascii="Times New Roman" w:cs="Times New Roman" w:eastAsia="Times New Roman" w:hAnsi="Times New Roman"/>
                <w:sz w:val="24"/>
                <w:szCs w:val="24"/>
                <w:color w:val="auto"/>
                <w:vertAlign w:val="superscript"/>
              </w:rPr>
              <w:t>(3)</w:t>
            </w:r>
          </w:p>
        </w:tc>
        <w:tc>
          <w:tcPr>
            <w:tcW w:w="20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50,950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50,950</w:t>
            </w:r>
          </w:p>
        </w:tc>
      </w:tr>
      <w:tr>
        <w:trPr>
          <w:trHeight w:val="230"/>
        </w:trPr>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Natixis Facility</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25,400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25,400</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40" w:type="dxa"/>
            <w:vAlign w:val="bottom"/>
            <w:gridSpan w:val="2"/>
          </w:tcPr>
          <w:p>
            <w:pPr>
              <w:spacing w:after="0" w:line="229" w:lineRule="exact"/>
              <w:rPr>
                <w:sz w:val="20"/>
                <w:szCs w:val="20"/>
                <w:color w:val="auto"/>
              </w:rPr>
            </w:pPr>
            <w:r>
              <w:rPr>
                <w:rFonts w:ascii="Times New Roman" w:cs="Times New Roman" w:eastAsia="Times New Roman" w:hAnsi="Times New Roman"/>
                <w:sz w:val="18"/>
                <w:szCs w:val="18"/>
                <w:color w:val="auto"/>
              </w:rPr>
              <w:t>Unsecured Notes Due February 2026</w:t>
            </w:r>
            <w:r>
              <w:rPr>
                <w:rFonts w:ascii="Times New Roman" w:cs="Times New Roman" w:eastAsia="Times New Roman" w:hAnsi="Times New Roman"/>
                <w:sz w:val="24"/>
                <w:szCs w:val="24"/>
                <w:color w:val="auto"/>
                <w:vertAlign w:val="superscript"/>
              </w:rPr>
              <w:t>(4)</w:t>
            </w:r>
          </w:p>
        </w:tc>
        <w:tc>
          <w:tcPr>
            <w:tcW w:w="20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15,988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15,961</w:t>
            </w:r>
          </w:p>
        </w:tc>
      </w:tr>
      <w:tr>
        <w:trPr>
          <w:trHeight w:val="230"/>
        </w:trPr>
        <w:tc>
          <w:tcPr>
            <w:tcW w:w="4940" w:type="dxa"/>
            <w:vAlign w:val="bottom"/>
            <w:gridSpan w:val="2"/>
            <w:shd w:val="clear" w:color="auto" w:fill="CFF0FC"/>
          </w:tcPr>
          <w:p>
            <w:pPr>
              <w:spacing w:after="0" w:line="229" w:lineRule="exact"/>
              <w:rPr>
                <w:sz w:val="20"/>
                <w:szCs w:val="20"/>
                <w:color w:val="auto"/>
              </w:rPr>
            </w:pPr>
            <w:r>
              <w:rPr>
                <w:rFonts w:ascii="Times New Roman" w:cs="Times New Roman" w:eastAsia="Times New Roman" w:hAnsi="Times New Roman"/>
                <w:sz w:val="18"/>
                <w:szCs w:val="18"/>
                <w:color w:val="auto"/>
              </w:rPr>
              <w:t>Unsecured Notes Due July 2028</w:t>
            </w:r>
            <w:r>
              <w:rPr>
                <w:rFonts w:ascii="Times New Roman" w:cs="Times New Roman" w:eastAsia="Times New Roman" w:hAnsi="Times New Roman"/>
                <w:sz w:val="24"/>
                <w:szCs w:val="24"/>
                <w:color w:val="auto"/>
                <w:vertAlign w:val="superscript"/>
              </w:rPr>
              <w:t>(5)</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48,243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50,960</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67,498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70,877</w:t>
            </w:r>
          </w:p>
        </w:tc>
      </w:tr>
      <w:tr>
        <w:trPr>
          <w:trHeight w:val="230"/>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Unsecured Notes Due October 2028</w:t>
            </w:r>
          </w:p>
        </w:tc>
        <w:tc>
          <w:tcPr>
            <w:tcW w:w="20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54,573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52,448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54,420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52,118</w:t>
            </w:r>
          </w:p>
        </w:tc>
      </w:tr>
      <w:tr>
        <w:trPr>
          <w:trHeight w:val="229"/>
        </w:trPr>
        <w:tc>
          <w:tcPr>
            <w:tcW w:w="4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Unsecured Note Due August 2029</w:t>
            </w: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24,432</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24,400</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24,282</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25,333</w:t>
            </w:r>
          </w:p>
        </w:tc>
      </w:tr>
      <w:tr>
        <w:trPr>
          <w:trHeight w:val="22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152,648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153,208</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217,638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219,739</w:t>
            </w: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-179705</wp:posOffset>
            </wp:positionV>
            <wp:extent cx="85725" cy="1803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5100955</wp:posOffset>
            </wp:positionH>
            <wp:positionV relativeFrom="paragraph">
              <wp:posOffset>-179705</wp:posOffset>
            </wp:positionV>
            <wp:extent cx="85725" cy="1803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6129655</wp:posOffset>
            </wp:positionH>
            <wp:positionV relativeFrom="paragraph">
              <wp:posOffset>-179705</wp:posOffset>
            </wp:positionV>
            <wp:extent cx="85725" cy="1803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83" w:lineRule="exact"/>
        <w:rPr>
          <w:sz w:val="20"/>
          <w:szCs w:val="20"/>
          <w:color w:val="auto"/>
        </w:rPr>
      </w:pPr>
    </w:p>
    <w:p>
      <w:pPr>
        <w:ind w:left="367" w:hanging="367"/>
        <w:spacing w:after="0"/>
        <w:tabs>
          <w:tab w:leader="none" w:pos="3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value is calculated as the outstanding principal amount less unamortized deferred debt issuance costs.</w:t>
      </w:r>
    </w:p>
    <w:p>
      <w:pPr>
        <w:spacing w:after="0" w:line="49"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2026, the Banc of California Credit Facility had no outstanding balance.</w:t>
      </w:r>
    </w:p>
    <w:p>
      <w:pPr>
        <w:spacing w:after="0" w:line="49" w:lineRule="exact"/>
        <w:rPr>
          <w:rFonts w:ascii="Times New Roman" w:cs="Times New Roman" w:eastAsia="Times New Roman" w:hAnsi="Times New Roman"/>
          <w:sz w:val="18"/>
          <w:szCs w:val="18"/>
          <w:color w:val="auto"/>
        </w:rPr>
      </w:pPr>
    </w:p>
    <w:p>
      <w:pPr>
        <w:ind w:left="367" w:right="100" w:hanging="367"/>
        <w:spacing w:after="0" w:line="261" w:lineRule="auto"/>
        <w:tabs>
          <w:tab w:leader="none" w:pos="3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18, 2026, in connection with the closing of the Natixis Facility, OFSCC-FS repaid in full all outstanding obligations due, and terminated all commitments, under the BNP Facility.</w:t>
      </w:r>
    </w:p>
    <w:p>
      <w:pPr>
        <w:ind w:left="367" w:hanging="367"/>
        <w:spacing w:after="0"/>
        <w:tabs>
          <w:tab w:leader="none" w:pos="3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9, 2026, the Company redeemed the remainder of the outstanding Unsecured Notes Due February 2026.</w:t>
      </w:r>
    </w:p>
    <w:p>
      <w:pPr>
        <w:spacing w:after="0" w:line="9"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29, 2026, the Company redeemed $20,000 of the outstanding Unsecured Notes Due July 2028.</w:t>
      </w:r>
    </w:p>
    <w:p>
      <w:pPr>
        <w:spacing w:after="0" w:line="99" w:lineRule="exact"/>
        <w:rPr>
          <w:sz w:val="20"/>
          <w:szCs w:val="20"/>
          <w:color w:val="auto"/>
        </w:rPr>
      </w:pPr>
    </w:p>
    <w:p>
      <w:pPr>
        <w:ind w:left="7"/>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measurements of the Company’s debt and the level within the fair value hierarchy of the significant unobservable inputs utilized by the Company to determine such fair values as of September 30, 2026 and December 31, 2025:</w:t>
      </w:r>
    </w:p>
    <w:p>
      <w:pPr>
        <w:spacing w:after="0" w:line="90" w:lineRule="exact"/>
        <w:rPr>
          <w:sz w:val="20"/>
          <w:szCs w:val="20"/>
          <w:color w:val="auto"/>
        </w:rPr>
      </w:pPr>
    </w:p>
    <w:tbl>
      <w:tblPr>
        <w:tblLayout w:type="fixed"/>
        <w:tblInd w:w="7"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0" w:type="dxa"/>
            <w:vAlign w:val="bottom"/>
          </w:tcPr>
          <w:p>
            <w:pPr>
              <w:spacing w:after="0"/>
              <w:rPr>
                <w:sz w:val="19"/>
                <w:szCs w:val="19"/>
                <w:color w:val="auto"/>
              </w:rPr>
            </w:pPr>
          </w:p>
        </w:tc>
        <w:tc>
          <w:tcPr>
            <w:tcW w:w="1160" w:type="dxa"/>
            <w:vAlign w:val="bottom"/>
          </w:tcPr>
          <w:p>
            <w:pPr>
              <w:jc w:val="right"/>
              <w:ind w:right="250"/>
              <w:spacing w:after="0" w:line="222" w:lineRule="exact"/>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24"/>
                <w:szCs w:val="24"/>
                <w:b w:val="1"/>
                <w:bCs w:val="1"/>
                <w:color w:val="auto"/>
                <w:vertAlign w:val="superscript"/>
              </w:rPr>
              <w:t>(1)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250"/>
              <w:spacing w:after="0" w:line="222" w:lineRule="exact"/>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24"/>
                <w:szCs w:val="24"/>
                <w:b w:val="1"/>
                <w:bCs w:val="1"/>
                <w:color w:val="auto"/>
                <w:vertAlign w:val="superscript"/>
              </w:rPr>
              <w:t>(2)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23"/>
        </w:trPr>
        <w:tc>
          <w:tcPr>
            <w:tcW w:w="4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Banc of California Credit Facility</w:t>
            </w:r>
          </w:p>
        </w:tc>
        <w:tc>
          <w:tcPr>
            <w:tcW w:w="1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Natixis Facility</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25,400</w:t>
            </w:r>
          </w:p>
        </w:tc>
        <w:tc>
          <w:tcPr>
            <w:tcW w:w="100" w:type="dxa"/>
            <w:vAlign w:val="bottom"/>
          </w:tcPr>
          <w:p>
            <w:pPr>
              <w:spacing w:after="0"/>
              <w:rPr>
                <w:sz w:val="19"/>
                <w:szCs w:val="19"/>
                <w:color w:val="auto"/>
              </w:rPr>
            </w:pPr>
          </w:p>
        </w:tc>
      </w:tr>
      <w:tr>
        <w:trPr>
          <w:trHeight w:val="230"/>
        </w:trPr>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Unsecured Notes Due July 2028</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50,960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50,960</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Unsecured Notes Due October 2028</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52,448</w:t>
            </w:r>
          </w:p>
        </w:tc>
        <w:tc>
          <w:tcPr>
            <w:tcW w:w="100" w:type="dxa"/>
            <w:vAlign w:val="bottom"/>
          </w:tcPr>
          <w:p>
            <w:pPr>
              <w:spacing w:after="0"/>
              <w:rPr>
                <w:sz w:val="19"/>
                <w:szCs w:val="19"/>
                <w:color w:val="auto"/>
              </w:rPr>
            </w:pPr>
          </w:p>
        </w:tc>
      </w:tr>
      <w:tr>
        <w:trPr>
          <w:trHeight w:val="229"/>
        </w:trPr>
        <w:tc>
          <w:tcPr>
            <w:tcW w:w="4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Unsecured Note Due August 2029</w:t>
            </w: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24,400</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 at fair value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103,408</w:t>
            </w:r>
          </w:p>
        </w:tc>
        <w:tc>
          <w:tcPr>
            <w:tcW w:w="5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49,800</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153,208</w:t>
            </w:r>
          </w:p>
        </w:tc>
        <w:tc>
          <w:tcPr>
            <w:tcW w:w="10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-1087755</wp:posOffset>
            </wp:positionV>
            <wp:extent cx="76835" cy="1797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5031740</wp:posOffset>
            </wp:positionH>
            <wp:positionV relativeFrom="paragraph">
              <wp:posOffset>-1087755</wp:posOffset>
            </wp:positionV>
            <wp:extent cx="68580" cy="1797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6060440</wp:posOffset>
            </wp:positionH>
            <wp:positionV relativeFrom="paragraph">
              <wp:posOffset>-1087755</wp:posOffset>
            </wp:positionV>
            <wp:extent cx="68580" cy="1797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7089140</wp:posOffset>
            </wp:positionH>
            <wp:positionV relativeFrom="paragraph">
              <wp:posOffset>-1087755</wp:posOffset>
            </wp:positionV>
            <wp:extent cx="68580" cy="1797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ectPr>
          <w:pgSz w:w="11920" w:h="16838" w:orient="portrait"/>
          <w:cols w:equalWidth="0" w:num="1">
            <w:col w:w="11267"/>
          </w:cols>
          <w:pgMar w:left="333" w:top="760" w:right="318" w:bottom="1440" w:gutter="0" w:footer="0" w:header="0"/>
        </w:sectPr>
      </w:pPr>
    </w:p>
    <w:bookmarkStart w:id="39" w:name="page40"/>
    <w:bookmarkEnd w:id="39"/>
    <w:p>
      <w:pPr>
        <w:ind w:left="7"/>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65" w:lineRule="exact"/>
        <w:rPr>
          <w:sz w:val="20"/>
          <w:szCs w:val="20"/>
          <w:color w:val="auto"/>
        </w:rPr>
      </w:pPr>
    </w:p>
    <w:tbl>
      <w:tblPr>
        <w:tblLayout w:type="fixed"/>
        <w:tblInd w:w="7"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0" w:type="dxa"/>
            <w:vAlign w:val="bottom"/>
          </w:tcPr>
          <w:p>
            <w:pPr>
              <w:spacing w:after="0"/>
              <w:rPr>
                <w:sz w:val="19"/>
                <w:szCs w:val="19"/>
                <w:color w:val="auto"/>
              </w:rPr>
            </w:pPr>
          </w:p>
        </w:tc>
        <w:tc>
          <w:tcPr>
            <w:tcW w:w="1280" w:type="dxa"/>
            <w:vAlign w:val="bottom"/>
          </w:tcPr>
          <w:p>
            <w:pPr>
              <w:jc w:val="right"/>
              <w:ind w:right="370"/>
              <w:spacing w:after="0" w:line="222" w:lineRule="exact"/>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24"/>
                <w:szCs w:val="24"/>
                <w:b w:val="1"/>
                <w:bCs w:val="1"/>
                <w:color w:val="auto"/>
                <w:vertAlign w:val="superscript"/>
              </w:rPr>
              <w:t>(1)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50"/>
              <w:spacing w:after="0" w:line="222" w:lineRule="exact"/>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24"/>
                <w:szCs w:val="24"/>
                <w:b w:val="1"/>
                <w:bCs w:val="1"/>
                <w:color w:val="auto"/>
                <w:vertAlign w:val="superscript"/>
              </w:rPr>
              <w:t>(2)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Banc of California Credit Facility</w:t>
            </w:r>
          </w:p>
        </w:tc>
        <w:tc>
          <w:tcPr>
            <w:tcW w:w="1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4,500</w:t>
            </w:r>
          </w:p>
        </w:tc>
        <w:tc>
          <w:tcPr>
            <w:tcW w:w="14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4,500</w:t>
            </w:r>
          </w:p>
        </w:tc>
      </w:tr>
      <w:tr>
        <w:trPr>
          <w:trHeight w:val="230"/>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Facility</w:t>
            </w:r>
          </w:p>
        </w:tc>
        <w:tc>
          <w:tcPr>
            <w:tcW w:w="20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50,950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50,950</w:t>
            </w:r>
          </w:p>
        </w:tc>
      </w:tr>
      <w:tr>
        <w:trPr>
          <w:trHeight w:val="229"/>
        </w:trPr>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Unsecured Notes Due February 2026</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15,961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15,961</w:t>
            </w:r>
          </w:p>
        </w:tc>
      </w:tr>
      <w:tr>
        <w:trPr>
          <w:trHeight w:val="229"/>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Unsecured Notes Due July 2028</w:t>
            </w:r>
          </w:p>
        </w:tc>
        <w:tc>
          <w:tcPr>
            <w:tcW w:w="20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70,877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70,877</w:t>
            </w:r>
          </w:p>
        </w:tc>
      </w:tr>
      <w:tr>
        <w:trPr>
          <w:trHeight w:val="230"/>
        </w:trPr>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Unsecured Notes Due October 2028</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52,118</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52,118</w:t>
            </w:r>
          </w:p>
        </w:tc>
      </w:tr>
      <w:tr>
        <w:trPr>
          <w:trHeight w:val="229"/>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Unsecured Note Due August 2029</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25,333</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25,333</w:t>
            </w:r>
          </w:p>
        </w:tc>
      </w:tr>
      <w:tr>
        <w:trPr>
          <w:trHeight w:val="263"/>
        </w:trPr>
        <w:tc>
          <w:tcPr>
            <w:tcW w:w="4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at fair value</w:t>
            </w: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122,995</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96,744</w:t>
            </w:r>
          </w:p>
        </w:tc>
        <w:tc>
          <w:tcPr>
            <w:tcW w:w="1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219,739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-24765</wp:posOffset>
            </wp:positionV>
            <wp:extent cx="857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-7620</wp:posOffset>
            </wp:positionV>
            <wp:extent cx="857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5100955</wp:posOffset>
            </wp:positionH>
            <wp:positionV relativeFrom="paragraph">
              <wp:posOffset>-24765</wp:posOffset>
            </wp:positionV>
            <wp:extent cx="857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5100955</wp:posOffset>
            </wp:positionH>
            <wp:positionV relativeFrom="paragraph">
              <wp:posOffset>-7620</wp:posOffset>
            </wp:positionV>
            <wp:extent cx="857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6129655</wp:posOffset>
            </wp:positionH>
            <wp:positionV relativeFrom="paragraph">
              <wp:posOffset>-24765</wp:posOffset>
            </wp:positionV>
            <wp:extent cx="857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6129655</wp:posOffset>
            </wp:positionH>
            <wp:positionV relativeFrom="paragraph">
              <wp:posOffset>-7620</wp:posOffset>
            </wp:positionV>
            <wp:extent cx="857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ind w:left="367" w:hanging="367"/>
        <w:spacing w:after="0"/>
        <w:tabs>
          <w:tab w:leader="none" w:pos="36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Level 1 measurements, fair value is estimated by using the closing price of the security on The Nasdaq Global Select Market.</w:t>
      </w:r>
    </w:p>
    <w:p>
      <w:pPr>
        <w:spacing w:after="0" w:line="49" w:lineRule="exact"/>
        <w:rPr>
          <w:rFonts w:ascii="Times New Roman" w:cs="Times New Roman" w:eastAsia="Times New Roman" w:hAnsi="Times New Roman"/>
          <w:sz w:val="18"/>
          <w:szCs w:val="18"/>
          <w:color w:val="auto"/>
        </w:rPr>
      </w:pPr>
    </w:p>
    <w:p>
      <w:pPr>
        <w:ind w:left="367" w:right="260" w:hanging="367"/>
        <w:spacing w:after="0" w:line="282" w:lineRule="auto"/>
        <w:tabs>
          <w:tab w:leader="none" w:pos="36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Level 3 measurements, fair value is estimated through discounting remaining payments using current market rates for similar instruments at the measurement date through the legal maturity date.</w:t>
      </w:r>
    </w:p>
    <w:p>
      <w:pPr>
        <w:spacing w:after="0" w:line="5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The following table shows the Company’s outstanding commitments to fund investments to portfolio companies as of September 30, 2026:</w:t>
      </w:r>
    </w:p>
    <w:p>
      <w:pPr>
        <w:spacing w:after="0" w:line="167" w:lineRule="exact"/>
        <w:rPr>
          <w:sz w:val="20"/>
          <w:szCs w:val="20"/>
          <w:color w:val="auto"/>
        </w:rPr>
      </w:pPr>
    </w:p>
    <w:tbl>
      <w:tblPr>
        <w:tblLayout w:type="fixed"/>
        <w:tblInd w:w="7" w:type="dxa"/>
        <w:tblCellMar>
          <w:top w:w="0" w:type="dxa"/>
          <w:left w:w="0" w:type="dxa"/>
          <w:bottom w:w="0" w:type="dxa"/>
          <w:right w:w="0" w:type="dxa"/>
        </w:tblCellMar>
      </w:tblPr>
      <w:tr>
        <w:trPr>
          <w:trHeight w:val="238"/>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20" w:type="dxa"/>
            <w:vAlign w:val="bottom"/>
          </w:tcPr>
          <w:p>
            <w:pPr>
              <w:spacing w:after="0"/>
              <w:rPr>
                <w:sz w:val="20"/>
                <w:szCs w:val="20"/>
                <w:color w:val="auto"/>
              </w:rPr>
            </w:pPr>
          </w:p>
        </w:tc>
        <w:tc>
          <w:tcPr>
            <w:tcW w:w="3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Commitment</w:t>
            </w:r>
          </w:p>
        </w:tc>
      </w:tr>
      <w:tr>
        <w:trPr>
          <w:trHeight w:val="22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Boca Home Care Holdings, Inc.</w:t>
            </w:r>
          </w:p>
        </w:tc>
        <w:tc>
          <w:tcPr>
            <w:tcW w:w="220" w:type="dxa"/>
            <w:vAlign w:val="bottom"/>
            <w:shd w:val="clear" w:color="auto" w:fill="CFF0FC"/>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1,065</w:t>
            </w:r>
          </w:p>
        </w:tc>
      </w:tr>
      <w:tr>
        <w:trPr>
          <w:trHeight w:val="22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Clevertech Bidco, LLC</w:t>
            </w:r>
          </w:p>
        </w:tc>
        <w:tc>
          <w:tcPr>
            <w:tcW w:w="2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ESP Associates, Inc.</w:t>
            </w:r>
          </w:p>
        </w:tc>
        <w:tc>
          <w:tcPr>
            <w:tcW w:w="220" w:type="dxa"/>
            <w:vAlign w:val="bottom"/>
            <w:shd w:val="clear" w:color="auto" w:fill="CFF0FC"/>
          </w:tcPr>
          <w:p>
            <w:pPr>
              <w:spacing w:after="0"/>
              <w:rPr>
                <w:sz w:val="18"/>
                <w:szCs w:val="18"/>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ESP Associates, Inc.</w:t>
            </w:r>
          </w:p>
        </w:tc>
        <w:tc>
          <w:tcPr>
            <w:tcW w:w="2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First Lien Debt (Delayed Draw)</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Honor HN Buyer Inc.</w:t>
            </w:r>
          </w:p>
        </w:tc>
        <w:tc>
          <w:tcPr>
            <w:tcW w:w="220" w:type="dxa"/>
            <w:vAlign w:val="bottom"/>
            <w:shd w:val="clear" w:color="auto" w:fill="CFF0FC"/>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 Love Produce, LLC</w:t>
            </w:r>
          </w:p>
        </w:tc>
        <w:tc>
          <w:tcPr>
            <w:tcW w:w="2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 Love Produce, LLC</w:t>
            </w:r>
          </w:p>
        </w:tc>
        <w:tc>
          <w:tcPr>
            <w:tcW w:w="220" w:type="dxa"/>
            <w:vAlign w:val="bottom"/>
            <w:shd w:val="clear" w:color="auto" w:fill="CFF0FC"/>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Debt (Delayed Draw)</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Integrated Energy Services, LLC</w:t>
            </w:r>
          </w:p>
        </w:tc>
        <w:tc>
          <w:tcPr>
            <w:tcW w:w="2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First Lien Debt (Delayed Draw)</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Integrated Energy Services, LLC</w:t>
            </w:r>
          </w:p>
        </w:tc>
        <w:tc>
          <w:tcPr>
            <w:tcW w:w="220" w:type="dxa"/>
            <w:vAlign w:val="bottom"/>
            <w:shd w:val="clear" w:color="auto" w:fill="CFF0FC"/>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Medrina LLC</w:t>
            </w:r>
          </w:p>
        </w:tc>
        <w:tc>
          <w:tcPr>
            <w:tcW w:w="2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w:t>
            </w:r>
          </w:p>
        </w:tc>
      </w:tr>
      <w:tr>
        <w:trPr>
          <w:trHeight w:val="23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MP Design, LLC</w:t>
            </w:r>
          </w:p>
        </w:tc>
        <w:tc>
          <w:tcPr>
            <w:tcW w:w="220" w:type="dxa"/>
            <w:vAlign w:val="bottom"/>
            <w:shd w:val="clear" w:color="auto" w:fill="CFF0FC"/>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PSB Group, LLC</w:t>
            </w:r>
          </w:p>
        </w:tc>
        <w:tc>
          <w:tcPr>
            <w:tcW w:w="2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1,059</w:t>
            </w:r>
          </w:p>
        </w:tc>
      </w:tr>
      <w:tr>
        <w:trPr>
          <w:trHeight w:val="23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SSJA Bariatric Management LLC</w:t>
            </w:r>
          </w:p>
        </w:tc>
        <w:tc>
          <w:tcPr>
            <w:tcW w:w="220" w:type="dxa"/>
            <w:vAlign w:val="bottom"/>
            <w:shd w:val="clear" w:color="auto" w:fill="CFF0FC"/>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Debt (Delayed Draw)</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Tolemar Acquisition, Inc.</w:t>
            </w:r>
          </w:p>
        </w:tc>
        <w:tc>
          <w:tcPr>
            <w:tcW w:w="2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309</w:t>
            </w:r>
          </w:p>
        </w:tc>
      </w:tr>
      <w:tr>
        <w:trPr>
          <w:trHeight w:val="263"/>
        </w:trPr>
        <w:tc>
          <w:tcPr>
            <w:tcW w:w="5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FF0FC"/>
            </w:tcBorders>
            <w:shd w:val="clear" w:color="auto" w:fill="CFF0FC"/>
          </w:tcPr>
          <w:p>
            <w:pPr>
              <w:spacing w:after="0"/>
              <w:rPr>
                <w:sz w:val="22"/>
                <w:szCs w:val="22"/>
                <w:color w:val="auto"/>
              </w:rPr>
            </w:pPr>
          </w:p>
        </w:tc>
        <w:tc>
          <w:tcPr>
            <w:tcW w:w="32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3,973</w:t>
            </w:r>
          </w:p>
        </w:tc>
      </w:tr>
    </w:tbl>
    <w:p>
      <w:pPr>
        <w:spacing w:after="0" w:line="103" w:lineRule="exact"/>
        <w:rPr>
          <w:sz w:val="20"/>
          <w:szCs w:val="20"/>
          <w:color w:val="auto"/>
        </w:rPr>
      </w:pPr>
    </w:p>
    <w:p>
      <w:pPr>
        <w:ind w:left="7" w:right="140"/>
        <w:spacing w:after="0" w:line="261" w:lineRule="auto"/>
        <w:rPr>
          <w:sz w:val="20"/>
          <w:szCs w:val="20"/>
          <w:color w:val="auto"/>
        </w:rPr>
      </w:pPr>
      <w:r>
        <w:rPr>
          <w:rFonts w:ascii="Times New Roman" w:cs="Times New Roman" w:eastAsia="Times New Roman" w:hAnsi="Times New Roman"/>
          <w:sz w:val="18"/>
          <w:szCs w:val="18"/>
          <w:color w:val="auto"/>
        </w:rPr>
        <w:t>In accordance with ASC 820, the Company considers undrawn amounts in the determination of fair value on its revolving lines of credit and delayed draw term loans. As of September 30, 2026, the Company had cash and cash equivalents of $3,132 and unused commitments of $15,000 under its Banc of California Credit Facility and $54,600 under its Natixis Facility, each of which is subject to the terms of the borrowing base and other covenants, to fund these outstanding commitments to portfolio companies.</w:t>
      </w:r>
    </w:p>
    <w:p>
      <w:pPr>
        <w:spacing w:after="0" w:line="18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760" w:right="318"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Company’s outstanding commitments to fund investments to portfolio companies as of December 31,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20" w:type="dxa"/>
            <w:vAlign w:val="bottom"/>
          </w:tcPr>
          <w:p>
            <w:pPr>
              <w:spacing w:after="0"/>
              <w:rPr>
                <w:sz w:val="20"/>
                <w:szCs w:val="20"/>
                <w:color w:val="auto"/>
              </w:rPr>
            </w:pPr>
          </w:p>
        </w:tc>
        <w:tc>
          <w:tcPr>
            <w:tcW w:w="3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100" w:type="dxa"/>
            <w:vAlign w:val="bottom"/>
          </w:tcPr>
          <w:p>
            <w:pPr>
              <w:spacing w:after="0"/>
              <w:rPr>
                <w:sz w:val="20"/>
                <w:szCs w:val="20"/>
                <w:color w:val="auto"/>
              </w:rPr>
            </w:pPr>
          </w:p>
        </w:tc>
      </w:tr>
      <w:tr>
        <w:trPr>
          <w:trHeight w:val="223"/>
        </w:trPr>
        <w:tc>
          <w:tcPr>
            <w:tcW w:w="5640" w:type="dxa"/>
            <w:vAlign w:val="bottom"/>
            <w:shd w:val="clear" w:color="auto" w:fill="CAEEFB"/>
          </w:tcPr>
          <w:p>
            <w:pPr>
              <w:spacing w:after="0"/>
              <w:rPr>
                <w:sz w:val="20"/>
                <w:szCs w:val="20"/>
                <w:color w:val="auto"/>
              </w:rPr>
            </w:pPr>
            <w:r>
              <w:rPr>
                <w:rFonts w:ascii="Times New Roman" w:cs="Times New Roman" w:eastAsia="Times New Roman" w:hAnsi="Times New Roman"/>
                <w:sz w:val="18"/>
                <w:szCs w:val="18"/>
                <w:color w:val="auto"/>
              </w:rPr>
              <w:t>12 Interactive, LLC (D/B/A PerkSpot)</w:t>
            </w:r>
          </w:p>
        </w:tc>
        <w:tc>
          <w:tcPr>
            <w:tcW w:w="220" w:type="dxa"/>
            <w:vAlign w:val="bottom"/>
            <w:shd w:val="clear" w:color="auto" w:fill="CAEEFB"/>
          </w:tcPr>
          <w:p>
            <w:pPr>
              <w:spacing w:after="0"/>
              <w:rPr>
                <w:sz w:val="19"/>
                <w:szCs w:val="19"/>
                <w:color w:val="auto"/>
              </w:rPr>
            </w:pPr>
          </w:p>
        </w:tc>
        <w:tc>
          <w:tcPr>
            <w:tcW w:w="3160" w:type="dxa"/>
            <w:vAlign w:val="bottom"/>
            <w:shd w:val="clear" w:color="auto" w:fill="CAEEFB"/>
          </w:tcPr>
          <w:p>
            <w:pPr>
              <w:spacing w:after="0"/>
              <w:rPr>
                <w:sz w:val="20"/>
                <w:szCs w:val="20"/>
                <w:color w:val="auto"/>
              </w:rPr>
            </w:pPr>
            <w:r>
              <w:rPr>
                <w:rFonts w:ascii="Times New Roman" w:cs="Times New Roman" w:eastAsia="Times New Roman" w:hAnsi="Times New Roman"/>
                <w:sz w:val="18"/>
                <w:szCs w:val="18"/>
                <w:color w:val="auto"/>
              </w:rPr>
              <w:t>First Lien Debt (Revolver)</w:t>
            </w:r>
          </w:p>
        </w:tc>
        <w:tc>
          <w:tcPr>
            <w:tcW w:w="220" w:type="dxa"/>
            <w:vAlign w:val="bottom"/>
            <w:shd w:val="clear" w:color="auto" w:fill="CAEEFB"/>
          </w:tcPr>
          <w:p>
            <w:pPr>
              <w:spacing w:after="0"/>
              <w:rPr>
                <w:sz w:val="19"/>
                <w:szCs w:val="19"/>
                <w:color w:val="auto"/>
              </w:rPr>
            </w:pPr>
          </w:p>
        </w:tc>
        <w:tc>
          <w:tcPr>
            <w:tcW w:w="260" w:type="dxa"/>
            <w:vAlign w:val="bottom"/>
            <w:shd w:val="clear" w:color="auto" w:fill="CAEEFB"/>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AEEFB"/>
          </w:tcPr>
          <w:p>
            <w:pPr>
              <w:spacing w:after="0"/>
              <w:rPr>
                <w:sz w:val="19"/>
                <w:szCs w:val="19"/>
                <w:color w:val="auto"/>
              </w:rPr>
            </w:pP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Associated Spring, LLC</w:t>
            </w:r>
          </w:p>
        </w:tc>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First Lien Debt (Delayed Draw)</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Pr>
          <w:p>
            <w:pPr>
              <w:spacing w:after="0"/>
              <w:rPr>
                <w:sz w:val="19"/>
                <w:szCs w:val="19"/>
                <w:color w:val="auto"/>
              </w:rPr>
            </w:pPr>
          </w:p>
        </w:tc>
      </w:tr>
      <w:tr>
        <w:trPr>
          <w:trHeight w:val="229"/>
        </w:trPr>
        <w:tc>
          <w:tcPr>
            <w:tcW w:w="5640" w:type="dxa"/>
            <w:vAlign w:val="bottom"/>
            <w:shd w:val="clear" w:color="auto" w:fill="CAEEFB"/>
          </w:tcPr>
          <w:p>
            <w:pPr>
              <w:spacing w:after="0"/>
              <w:rPr>
                <w:sz w:val="20"/>
                <w:szCs w:val="20"/>
                <w:color w:val="auto"/>
              </w:rPr>
            </w:pPr>
            <w:r>
              <w:rPr>
                <w:rFonts w:ascii="Times New Roman" w:cs="Times New Roman" w:eastAsia="Times New Roman" w:hAnsi="Times New Roman"/>
                <w:sz w:val="18"/>
                <w:szCs w:val="18"/>
                <w:color w:val="auto"/>
              </w:rPr>
              <w:t>Avison Young Inc.</w:t>
            </w:r>
          </w:p>
        </w:tc>
        <w:tc>
          <w:tcPr>
            <w:tcW w:w="3380" w:type="dxa"/>
            <w:vAlign w:val="bottom"/>
            <w:gridSpan w:val="2"/>
            <w:shd w:val="clear" w:color="auto" w:fill="CAEEFB"/>
          </w:tcPr>
          <w:p>
            <w:pPr>
              <w:ind w:left="220"/>
              <w:spacing w:after="0"/>
              <w:rPr>
                <w:sz w:val="20"/>
                <w:szCs w:val="20"/>
                <w:color w:val="auto"/>
              </w:rPr>
            </w:pPr>
            <w:r>
              <w:rPr>
                <w:rFonts w:ascii="Times New Roman" w:cs="Times New Roman" w:eastAsia="Times New Roman" w:hAnsi="Times New Roman"/>
                <w:sz w:val="18"/>
                <w:szCs w:val="18"/>
                <w:color w:val="auto"/>
              </w:rPr>
              <w:t>First Lien Debt (Delayed Draw)</w:t>
            </w:r>
          </w:p>
        </w:tc>
        <w:tc>
          <w:tcPr>
            <w:tcW w:w="220" w:type="dxa"/>
            <w:vAlign w:val="bottom"/>
            <w:shd w:val="clear" w:color="auto" w:fill="CAEEFB"/>
          </w:tcPr>
          <w:p>
            <w:pPr>
              <w:spacing w:after="0"/>
              <w:rPr>
                <w:sz w:val="19"/>
                <w:szCs w:val="19"/>
                <w:color w:val="auto"/>
              </w:rPr>
            </w:pPr>
          </w:p>
        </w:tc>
        <w:tc>
          <w:tcPr>
            <w:tcW w:w="260" w:type="dxa"/>
            <w:vAlign w:val="bottom"/>
            <w:shd w:val="clear" w:color="auto" w:fill="CAEEFB"/>
          </w:tcPr>
          <w:p>
            <w:pPr>
              <w:spacing w:after="0"/>
              <w:rPr>
                <w:sz w:val="19"/>
                <w:szCs w:val="19"/>
                <w:color w:val="auto"/>
              </w:rPr>
            </w:pPr>
          </w:p>
        </w:tc>
        <w:tc>
          <w:tcPr>
            <w:tcW w:w="16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AEEFB"/>
          </w:tcPr>
          <w:p>
            <w:pPr>
              <w:spacing w:after="0"/>
              <w:rPr>
                <w:sz w:val="19"/>
                <w:szCs w:val="19"/>
                <w:color w:val="auto"/>
              </w:rPr>
            </w:pPr>
          </w:p>
        </w:tc>
      </w:tr>
      <w:tr>
        <w:trPr>
          <w:trHeight w:val="22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Boca Home Care Holdings, Inc.</w:t>
            </w:r>
          </w:p>
        </w:tc>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First Lien Debt (Revolver)</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19"/>
                <w:szCs w:val="19"/>
                <w:color w:val="auto"/>
              </w:rPr>
            </w:pPr>
          </w:p>
        </w:tc>
      </w:tr>
      <w:tr>
        <w:trPr>
          <w:trHeight w:val="230"/>
        </w:trPr>
        <w:tc>
          <w:tcPr>
            <w:tcW w:w="5640" w:type="dxa"/>
            <w:vAlign w:val="bottom"/>
            <w:shd w:val="clear" w:color="auto" w:fill="CAEEFB"/>
          </w:tcPr>
          <w:p>
            <w:pPr>
              <w:spacing w:after="0"/>
              <w:rPr>
                <w:sz w:val="20"/>
                <w:szCs w:val="20"/>
                <w:color w:val="auto"/>
              </w:rPr>
            </w:pPr>
            <w:r>
              <w:rPr>
                <w:rFonts w:ascii="Times New Roman" w:cs="Times New Roman" w:eastAsia="Times New Roman" w:hAnsi="Times New Roman"/>
                <w:sz w:val="18"/>
                <w:szCs w:val="18"/>
                <w:color w:val="auto"/>
              </w:rPr>
              <w:t>Clevertech Bidco, LLC</w:t>
            </w:r>
          </w:p>
        </w:tc>
        <w:tc>
          <w:tcPr>
            <w:tcW w:w="3380" w:type="dxa"/>
            <w:vAlign w:val="bottom"/>
            <w:gridSpan w:val="2"/>
            <w:shd w:val="clear" w:color="auto" w:fill="CAEEFB"/>
          </w:tcPr>
          <w:p>
            <w:pPr>
              <w:ind w:left="220"/>
              <w:spacing w:after="0"/>
              <w:rPr>
                <w:sz w:val="20"/>
                <w:szCs w:val="20"/>
                <w:color w:val="auto"/>
              </w:rPr>
            </w:pPr>
            <w:r>
              <w:rPr>
                <w:rFonts w:ascii="Times New Roman" w:cs="Times New Roman" w:eastAsia="Times New Roman" w:hAnsi="Times New Roman"/>
                <w:sz w:val="18"/>
                <w:szCs w:val="18"/>
                <w:color w:val="auto"/>
              </w:rPr>
              <w:t>First Lien Debt (Revolver)</w:t>
            </w:r>
          </w:p>
        </w:tc>
        <w:tc>
          <w:tcPr>
            <w:tcW w:w="220" w:type="dxa"/>
            <w:vAlign w:val="bottom"/>
            <w:shd w:val="clear" w:color="auto" w:fill="CAEEFB"/>
          </w:tcPr>
          <w:p>
            <w:pPr>
              <w:spacing w:after="0"/>
              <w:rPr>
                <w:sz w:val="19"/>
                <w:szCs w:val="19"/>
                <w:color w:val="auto"/>
              </w:rPr>
            </w:pPr>
          </w:p>
        </w:tc>
        <w:tc>
          <w:tcPr>
            <w:tcW w:w="260" w:type="dxa"/>
            <w:vAlign w:val="bottom"/>
            <w:shd w:val="clear" w:color="auto" w:fill="CAEEFB"/>
          </w:tcPr>
          <w:p>
            <w:pPr>
              <w:spacing w:after="0"/>
              <w:rPr>
                <w:sz w:val="19"/>
                <w:szCs w:val="19"/>
                <w:color w:val="auto"/>
              </w:rPr>
            </w:pPr>
          </w:p>
        </w:tc>
        <w:tc>
          <w:tcPr>
            <w:tcW w:w="16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AEEFB"/>
          </w:tcPr>
          <w:p>
            <w:pPr>
              <w:spacing w:after="0"/>
              <w:rPr>
                <w:sz w:val="19"/>
                <w:szCs w:val="19"/>
                <w:color w:val="auto"/>
              </w:rPr>
            </w:pPr>
          </w:p>
        </w:tc>
      </w:tr>
      <w:tr>
        <w:trPr>
          <w:trHeight w:val="22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Envocore Holding, LLC (F/K/A LRI Holding, LLC)</w:t>
            </w:r>
          </w:p>
        </w:tc>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First Lien Debt (Revolver)</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Pr>
          <w:p>
            <w:pPr>
              <w:spacing w:after="0"/>
              <w:rPr>
                <w:sz w:val="19"/>
                <w:szCs w:val="19"/>
                <w:color w:val="auto"/>
              </w:rPr>
            </w:pPr>
          </w:p>
        </w:tc>
      </w:tr>
      <w:tr>
        <w:trPr>
          <w:trHeight w:val="230"/>
        </w:trPr>
        <w:tc>
          <w:tcPr>
            <w:tcW w:w="5640" w:type="dxa"/>
            <w:vAlign w:val="bottom"/>
            <w:shd w:val="clear" w:color="auto" w:fill="CAEEFB"/>
          </w:tcPr>
          <w:p>
            <w:pPr>
              <w:spacing w:after="0"/>
              <w:rPr>
                <w:sz w:val="20"/>
                <w:szCs w:val="20"/>
                <w:color w:val="auto"/>
              </w:rPr>
            </w:pPr>
            <w:r>
              <w:rPr>
                <w:rFonts w:ascii="Times New Roman" w:cs="Times New Roman" w:eastAsia="Times New Roman" w:hAnsi="Times New Roman"/>
                <w:sz w:val="18"/>
                <w:szCs w:val="18"/>
                <w:color w:val="auto"/>
              </w:rPr>
              <w:t>Honor HN Buyer Inc.</w:t>
            </w:r>
          </w:p>
        </w:tc>
        <w:tc>
          <w:tcPr>
            <w:tcW w:w="3380" w:type="dxa"/>
            <w:vAlign w:val="bottom"/>
            <w:gridSpan w:val="2"/>
            <w:shd w:val="clear" w:color="auto" w:fill="CAEEFB"/>
          </w:tcPr>
          <w:p>
            <w:pPr>
              <w:ind w:left="220"/>
              <w:spacing w:after="0"/>
              <w:rPr>
                <w:sz w:val="20"/>
                <w:szCs w:val="20"/>
                <w:color w:val="auto"/>
              </w:rPr>
            </w:pPr>
            <w:r>
              <w:rPr>
                <w:rFonts w:ascii="Times New Roman" w:cs="Times New Roman" w:eastAsia="Times New Roman" w:hAnsi="Times New Roman"/>
                <w:sz w:val="18"/>
                <w:szCs w:val="18"/>
                <w:color w:val="auto"/>
              </w:rPr>
              <w:t>First Lien Debt (Revolver)</w:t>
            </w:r>
          </w:p>
        </w:tc>
        <w:tc>
          <w:tcPr>
            <w:tcW w:w="220" w:type="dxa"/>
            <w:vAlign w:val="bottom"/>
            <w:shd w:val="clear" w:color="auto" w:fill="CAEEFB"/>
          </w:tcPr>
          <w:p>
            <w:pPr>
              <w:spacing w:after="0"/>
              <w:rPr>
                <w:sz w:val="19"/>
                <w:szCs w:val="19"/>
                <w:color w:val="auto"/>
              </w:rPr>
            </w:pPr>
          </w:p>
        </w:tc>
        <w:tc>
          <w:tcPr>
            <w:tcW w:w="260" w:type="dxa"/>
            <w:vAlign w:val="bottom"/>
            <w:shd w:val="clear" w:color="auto" w:fill="CAEEFB"/>
          </w:tcPr>
          <w:p>
            <w:pPr>
              <w:spacing w:after="0"/>
              <w:rPr>
                <w:sz w:val="19"/>
                <w:szCs w:val="19"/>
                <w:color w:val="auto"/>
              </w:rPr>
            </w:pPr>
          </w:p>
        </w:tc>
        <w:tc>
          <w:tcPr>
            <w:tcW w:w="16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AEEFB"/>
          </w:tcPr>
          <w:p>
            <w:pPr>
              <w:spacing w:after="0"/>
              <w:rPr>
                <w:sz w:val="19"/>
                <w:szCs w:val="19"/>
                <w:color w:val="auto"/>
              </w:rPr>
            </w:pPr>
          </w:p>
        </w:tc>
      </w:tr>
      <w:tr>
        <w:trPr>
          <w:trHeight w:val="22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Honor HN Buyer Inc.</w:t>
            </w:r>
          </w:p>
        </w:tc>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First Lien Debt (Delayed Draw)</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00" w:type="dxa"/>
            <w:vAlign w:val="bottom"/>
          </w:tcPr>
          <w:p>
            <w:pPr>
              <w:spacing w:after="0"/>
              <w:rPr>
                <w:sz w:val="19"/>
                <w:szCs w:val="19"/>
                <w:color w:val="auto"/>
              </w:rPr>
            </w:pPr>
          </w:p>
        </w:tc>
      </w:tr>
      <w:tr>
        <w:trPr>
          <w:trHeight w:val="229"/>
        </w:trPr>
        <w:tc>
          <w:tcPr>
            <w:tcW w:w="5640" w:type="dxa"/>
            <w:vAlign w:val="bottom"/>
            <w:shd w:val="clear" w:color="auto" w:fill="CAEEFB"/>
          </w:tcPr>
          <w:p>
            <w:pPr>
              <w:spacing w:after="0"/>
              <w:rPr>
                <w:sz w:val="20"/>
                <w:szCs w:val="20"/>
                <w:color w:val="auto"/>
              </w:rPr>
            </w:pPr>
            <w:r>
              <w:rPr>
                <w:rFonts w:ascii="Times New Roman" w:cs="Times New Roman" w:eastAsia="Times New Roman" w:hAnsi="Times New Roman"/>
                <w:sz w:val="18"/>
                <w:szCs w:val="18"/>
                <w:color w:val="auto"/>
              </w:rPr>
              <w:t>Integrated Energy Services, LLC</w:t>
            </w:r>
          </w:p>
        </w:tc>
        <w:tc>
          <w:tcPr>
            <w:tcW w:w="3380" w:type="dxa"/>
            <w:vAlign w:val="bottom"/>
            <w:gridSpan w:val="2"/>
            <w:shd w:val="clear" w:color="auto" w:fill="CAEEFB"/>
          </w:tcPr>
          <w:p>
            <w:pPr>
              <w:ind w:left="220"/>
              <w:spacing w:after="0"/>
              <w:rPr>
                <w:sz w:val="20"/>
                <w:szCs w:val="20"/>
                <w:color w:val="auto"/>
              </w:rPr>
            </w:pPr>
            <w:r>
              <w:rPr>
                <w:rFonts w:ascii="Times New Roman" w:cs="Times New Roman" w:eastAsia="Times New Roman" w:hAnsi="Times New Roman"/>
                <w:sz w:val="18"/>
                <w:szCs w:val="18"/>
                <w:color w:val="auto"/>
              </w:rPr>
              <w:t>First Lien Debt (Delayed Draw)</w:t>
            </w:r>
          </w:p>
        </w:tc>
        <w:tc>
          <w:tcPr>
            <w:tcW w:w="220" w:type="dxa"/>
            <w:vAlign w:val="bottom"/>
            <w:shd w:val="clear" w:color="auto" w:fill="CAEEFB"/>
          </w:tcPr>
          <w:p>
            <w:pPr>
              <w:spacing w:after="0"/>
              <w:rPr>
                <w:sz w:val="19"/>
                <w:szCs w:val="19"/>
                <w:color w:val="auto"/>
              </w:rPr>
            </w:pPr>
          </w:p>
        </w:tc>
        <w:tc>
          <w:tcPr>
            <w:tcW w:w="260" w:type="dxa"/>
            <w:vAlign w:val="bottom"/>
            <w:shd w:val="clear" w:color="auto" w:fill="CAEEFB"/>
          </w:tcPr>
          <w:p>
            <w:pPr>
              <w:spacing w:after="0"/>
              <w:rPr>
                <w:sz w:val="19"/>
                <w:szCs w:val="19"/>
                <w:color w:val="auto"/>
              </w:rPr>
            </w:pPr>
          </w:p>
        </w:tc>
        <w:tc>
          <w:tcPr>
            <w:tcW w:w="16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AEEFB"/>
          </w:tcPr>
          <w:p>
            <w:pPr>
              <w:spacing w:after="0"/>
              <w:rPr>
                <w:sz w:val="19"/>
                <w:szCs w:val="19"/>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Integrated Energy Services, LLC</w:t>
            </w:r>
          </w:p>
        </w:tc>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First Lien Debt (Revolver)</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r>
      <w:tr>
        <w:trPr>
          <w:trHeight w:val="230"/>
        </w:trPr>
        <w:tc>
          <w:tcPr>
            <w:tcW w:w="5640" w:type="dxa"/>
            <w:vAlign w:val="bottom"/>
            <w:shd w:val="clear" w:color="auto" w:fill="CAEEFB"/>
          </w:tcPr>
          <w:p>
            <w:pPr>
              <w:spacing w:after="0"/>
              <w:rPr>
                <w:sz w:val="20"/>
                <w:szCs w:val="20"/>
                <w:color w:val="auto"/>
              </w:rPr>
            </w:pPr>
            <w:r>
              <w:rPr>
                <w:rFonts w:ascii="Times New Roman" w:cs="Times New Roman" w:eastAsia="Times New Roman" w:hAnsi="Times New Roman"/>
                <w:sz w:val="18"/>
                <w:szCs w:val="18"/>
                <w:color w:val="auto"/>
              </w:rPr>
              <w:t>Medrina LLC</w:t>
            </w:r>
          </w:p>
        </w:tc>
        <w:tc>
          <w:tcPr>
            <w:tcW w:w="3380" w:type="dxa"/>
            <w:vAlign w:val="bottom"/>
            <w:gridSpan w:val="2"/>
            <w:shd w:val="clear" w:color="auto" w:fill="CAEEFB"/>
          </w:tcPr>
          <w:p>
            <w:pPr>
              <w:ind w:left="220"/>
              <w:spacing w:after="0"/>
              <w:rPr>
                <w:sz w:val="20"/>
                <w:szCs w:val="20"/>
                <w:color w:val="auto"/>
              </w:rPr>
            </w:pPr>
            <w:r>
              <w:rPr>
                <w:rFonts w:ascii="Times New Roman" w:cs="Times New Roman" w:eastAsia="Times New Roman" w:hAnsi="Times New Roman"/>
                <w:sz w:val="18"/>
                <w:szCs w:val="18"/>
                <w:color w:val="auto"/>
              </w:rPr>
              <w:t>First Lien Debt (Revolver)</w:t>
            </w:r>
          </w:p>
        </w:tc>
        <w:tc>
          <w:tcPr>
            <w:tcW w:w="220" w:type="dxa"/>
            <w:vAlign w:val="bottom"/>
            <w:shd w:val="clear" w:color="auto" w:fill="CAEEFB"/>
          </w:tcPr>
          <w:p>
            <w:pPr>
              <w:spacing w:after="0"/>
              <w:rPr>
                <w:sz w:val="19"/>
                <w:szCs w:val="19"/>
                <w:color w:val="auto"/>
              </w:rPr>
            </w:pPr>
          </w:p>
        </w:tc>
        <w:tc>
          <w:tcPr>
            <w:tcW w:w="260" w:type="dxa"/>
            <w:vAlign w:val="bottom"/>
            <w:shd w:val="clear" w:color="auto" w:fill="CAEEFB"/>
          </w:tcPr>
          <w:p>
            <w:pPr>
              <w:spacing w:after="0"/>
              <w:rPr>
                <w:sz w:val="19"/>
                <w:szCs w:val="19"/>
                <w:color w:val="auto"/>
              </w:rPr>
            </w:pPr>
          </w:p>
        </w:tc>
        <w:tc>
          <w:tcPr>
            <w:tcW w:w="16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AEEFB"/>
          </w:tcPr>
          <w:p>
            <w:pPr>
              <w:spacing w:after="0"/>
              <w:rPr>
                <w:sz w:val="19"/>
                <w:szCs w:val="19"/>
                <w:color w:val="auto"/>
              </w:rPr>
            </w:pPr>
          </w:p>
        </w:tc>
      </w:tr>
      <w:tr>
        <w:trPr>
          <w:trHeight w:val="22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PSB Group, LLC</w:t>
            </w:r>
          </w:p>
        </w:tc>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First Lien Debt (Revolver)</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9"/>
                <w:szCs w:val="19"/>
                <w:color w:val="auto"/>
              </w:rPr>
            </w:pPr>
          </w:p>
        </w:tc>
      </w:tr>
      <w:tr>
        <w:trPr>
          <w:trHeight w:val="230"/>
        </w:trPr>
        <w:tc>
          <w:tcPr>
            <w:tcW w:w="5640" w:type="dxa"/>
            <w:vAlign w:val="bottom"/>
            <w:shd w:val="clear" w:color="auto" w:fill="CAEEFB"/>
          </w:tcPr>
          <w:p>
            <w:pPr>
              <w:spacing w:after="0"/>
              <w:rPr>
                <w:sz w:val="20"/>
                <w:szCs w:val="20"/>
                <w:color w:val="auto"/>
              </w:rPr>
            </w:pPr>
            <w:r>
              <w:rPr>
                <w:rFonts w:ascii="Times New Roman" w:cs="Times New Roman" w:eastAsia="Times New Roman" w:hAnsi="Times New Roman"/>
                <w:sz w:val="18"/>
                <w:szCs w:val="18"/>
                <w:color w:val="auto"/>
              </w:rPr>
              <w:t>SS Acquisition, LLC</w:t>
            </w:r>
          </w:p>
        </w:tc>
        <w:tc>
          <w:tcPr>
            <w:tcW w:w="3380" w:type="dxa"/>
            <w:vAlign w:val="bottom"/>
            <w:gridSpan w:val="2"/>
            <w:shd w:val="clear" w:color="auto" w:fill="CAEEFB"/>
          </w:tcPr>
          <w:p>
            <w:pPr>
              <w:ind w:left="220"/>
              <w:spacing w:after="0"/>
              <w:rPr>
                <w:sz w:val="20"/>
                <w:szCs w:val="20"/>
                <w:color w:val="auto"/>
              </w:rPr>
            </w:pPr>
            <w:r>
              <w:rPr>
                <w:rFonts w:ascii="Times New Roman" w:cs="Times New Roman" w:eastAsia="Times New Roman" w:hAnsi="Times New Roman"/>
                <w:sz w:val="18"/>
                <w:szCs w:val="18"/>
                <w:color w:val="auto"/>
              </w:rPr>
              <w:t>First Lien Debt (Revolver)</w:t>
            </w:r>
          </w:p>
        </w:tc>
        <w:tc>
          <w:tcPr>
            <w:tcW w:w="220" w:type="dxa"/>
            <w:vAlign w:val="bottom"/>
            <w:shd w:val="clear" w:color="auto" w:fill="CAEEFB"/>
          </w:tcPr>
          <w:p>
            <w:pPr>
              <w:spacing w:after="0"/>
              <w:rPr>
                <w:sz w:val="19"/>
                <w:szCs w:val="19"/>
                <w:color w:val="auto"/>
              </w:rPr>
            </w:pPr>
          </w:p>
        </w:tc>
        <w:tc>
          <w:tcPr>
            <w:tcW w:w="260" w:type="dxa"/>
            <w:vAlign w:val="bottom"/>
            <w:shd w:val="clear" w:color="auto" w:fill="CAEEFB"/>
          </w:tcPr>
          <w:p>
            <w:pPr>
              <w:spacing w:after="0"/>
              <w:rPr>
                <w:sz w:val="19"/>
                <w:szCs w:val="19"/>
                <w:color w:val="auto"/>
              </w:rPr>
            </w:pPr>
          </w:p>
        </w:tc>
        <w:tc>
          <w:tcPr>
            <w:tcW w:w="16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AEEFB"/>
          </w:tcPr>
          <w:p>
            <w:pPr>
              <w:spacing w:after="0"/>
              <w:rPr>
                <w:sz w:val="19"/>
                <w:szCs w:val="19"/>
                <w:color w:val="auto"/>
              </w:rPr>
            </w:pPr>
          </w:p>
        </w:tc>
      </w:tr>
      <w:tr>
        <w:trPr>
          <w:trHeight w:val="22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SSJA Bariatric Management LLC</w:t>
            </w:r>
          </w:p>
        </w:tc>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First Lien Debt (Delayed Draw)</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r>
      <w:tr>
        <w:trPr>
          <w:trHeight w:val="229"/>
        </w:trPr>
        <w:tc>
          <w:tcPr>
            <w:tcW w:w="5640" w:type="dxa"/>
            <w:vAlign w:val="bottom"/>
            <w:tcBorders>
              <w:bottom w:val="single" w:sz="8" w:color="CAEEFB"/>
            </w:tcBorders>
            <w:shd w:val="clear" w:color="auto" w:fill="CAEEFB"/>
          </w:tcPr>
          <w:p>
            <w:pPr>
              <w:spacing w:after="0"/>
              <w:rPr>
                <w:sz w:val="20"/>
                <w:szCs w:val="20"/>
                <w:color w:val="auto"/>
              </w:rPr>
            </w:pPr>
            <w:r>
              <w:rPr>
                <w:rFonts w:ascii="Times New Roman" w:cs="Times New Roman" w:eastAsia="Times New Roman" w:hAnsi="Times New Roman"/>
                <w:sz w:val="18"/>
                <w:szCs w:val="18"/>
                <w:color w:val="auto"/>
              </w:rPr>
              <w:t>Tolemar Acquisition, Inc.</w:t>
            </w:r>
          </w:p>
        </w:tc>
        <w:tc>
          <w:tcPr>
            <w:tcW w:w="3380" w:type="dxa"/>
            <w:vAlign w:val="bottom"/>
            <w:tcBorders>
              <w:bottom w:val="single" w:sz="8" w:color="CAEEFB"/>
            </w:tcBorders>
            <w:gridSpan w:val="2"/>
            <w:shd w:val="clear" w:color="auto" w:fill="CAEEFB"/>
          </w:tcPr>
          <w:p>
            <w:pPr>
              <w:ind w:left="220"/>
              <w:spacing w:after="0"/>
              <w:rPr>
                <w:sz w:val="20"/>
                <w:szCs w:val="20"/>
                <w:color w:val="auto"/>
              </w:rPr>
            </w:pPr>
            <w:r>
              <w:rPr>
                <w:rFonts w:ascii="Times New Roman" w:cs="Times New Roman" w:eastAsia="Times New Roman" w:hAnsi="Times New Roman"/>
                <w:sz w:val="18"/>
                <w:szCs w:val="18"/>
                <w:color w:val="auto"/>
              </w:rPr>
              <w:t>First Lien Debt (Revolver)</w:t>
            </w:r>
          </w:p>
        </w:tc>
        <w:tc>
          <w:tcPr>
            <w:tcW w:w="220" w:type="dxa"/>
            <w:vAlign w:val="bottom"/>
            <w:tcBorders>
              <w:bottom w:val="single" w:sz="8" w:color="CAEEFB"/>
            </w:tcBorders>
            <w:shd w:val="clear" w:color="auto" w:fill="CAEEFB"/>
          </w:tcPr>
          <w:p>
            <w:pPr>
              <w:spacing w:after="0"/>
              <w:rPr>
                <w:sz w:val="19"/>
                <w:szCs w:val="19"/>
                <w:color w:val="auto"/>
              </w:rPr>
            </w:pPr>
          </w:p>
        </w:tc>
        <w:tc>
          <w:tcPr>
            <w:tcW w:w="260" w:type="dxa"/>
            <w:vAlign w:val="bottom"/>
            <w:tcBorders>
              <w:bottom w:val="single" w:sz="8" w:color="auto"/>
            </w:tcBorders>
            <w:shd w:val="clear" w:color="auto" w:fill="CAEEFB"/>
          </w:tcPr>
          <w:p>
            <w:pPr>
              <w:spacing w:after="0"/>
              <w:rPr>
                <w:sz w:val="19"/>
                <w:szCs w:val="19"/>
                <w:color w:val="auto"/>
              </w:rPr>
            </w:pPr>
          </w:p>
        </w:tc>
        <w:tc>
          <w:tcPr>
            <w:tcW w:w="166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Borders>
              <w:bottom w:val="single" w:sz="8" w:color="CAEEFB"/>
            </w:tcBorders>
            <w:shd w:val="clear" w:color="auto" w:fill="CAEEFB"/>
          </w:tcPr>
          <w:p>
            <w:pPr>
              <w:spacing w:after="0"/>
              <w:rPr>
                <w:sz w:val="19"/>
                <w:szCs w:val="19"/>
                <w:color w:val="auto"/>
              </w:rPr>
            </w:pPr>
          </w:p>
        </w:tc>
      </w:tr>
      <w:tr>
        <w:trPr>
          <w:trHeight w:val="223"/>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7085330</wp:posOffset>
            </wp:positionH>
            <wp:positionV relativeFrom="paragraph">
              <wp:posOffset>-179705</wp:posOffset>
            </wp:positionV>
            <wp:extent cx="68580" cy="1803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6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Legal and regulatory proceedings: </w:t>
      </w:r>
      <w:r>
        <w:rPr>
          <w:rFonts w:ascii="Times New Roman" w:cs="Times New Roman" w:eastAsia="Times New Roman" w:hAnsi="Times New Roman"/>
          <w:sz w:val="18"/>
          <w:szCs w:val="18"/>
          <w:color w:val="auto"/>
        </w:rPr>
        <w:t>From time to time, the Company is involved in legal proceedings in the normal course of its business. 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Subsequent Events—Litigation </w:t>
      </w:r>
      <w:r>
        <w:rPr>
          <w:rFonts w:ascii="Times New Roman" w:cs="Times New Roman" w:eastAsia="Times New Roman" w:hAnsi="Times New Roman"/>
          <w:sz w:val="18"/>
          <w:szCs w:val="18"/>
          <w:color w:val="auto"/>
        </w:rPr>
        <w:t>for additional information concerning litigation commenced after September 30, 2026. Except as described therein,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is of the opinion, based on the advice of legal counsel, that the final disposition of any litigation should not have a material adverse effect on the financial position of the Company as of September 30, 2026.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Company is subject to periodic inspection by regulators to assess compliance with applicable BDC regulations.</w:t>
      </w:r>
    </w:p>
    <w:p>
      <w:pPr>
        <w:spacing w:after="0" w:line="11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Indemnifications: </w:t>
      </w: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that provide for general indemnification. The Company’s maximum exposure under these arrangements is unknown, as this would involve future claims that may be made against the Company that have not yet occurred. The Company believes the risk of any material obligation under these indemnifications to be 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Borrowings</w:t>
      </w:r>
    </w:p>
    <w:p>
      <w:pPr>
        <w:spacing w:after="0" w:line="11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Natixis Facility: </w:t>
      </w:r>
      <w:r>
        <w:rPr>
          <w:rFonts w:ascii="Times New Roman" w:cs="Times New Roman" w:eastAsia="Times New Roman" w:hAnsi="Times New Roman"/>
          <w:sz w:val="18"/>
          <w:szCs w:val="18"/>
          <w:color w:val="auto"/>
        </w:rPr>
        <w:t>On February 18, 2026, OFSCC-FS entered into the Natixis Facility, which provides for borrowings in an aggregate principal amount up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$80,000. Borrowings under the Natixis Facility bear interest at a rate based on SOFR plus a margin of 2.35%. The Natixis Facility also includes a fee of</w:t>
      </w:r>
    </w:p>
    <w:p>
      <w:pPr>
        <w:spacing w:after="0" w:line="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0.40% on the unused amount of the facility, as well as an arranger fee of 0.20% on the total commitment amount of the facility. The reinvestment period during which OFSCC-FS is permitted to borrow terminates on February 18, 2029, and the facility is scheduled to mature on February 18, 2031.</w:t>
      </w:r>
    </w:p>
    <w:p>
      <w:pPr>
        <w:spacing w:after="0" w:line="4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September 30, 2026, the Natixis Facility had outstanding debt of $25,400, the unused commitment under the Natixis Facility was $54,600, subject to a borrowing base and other covenants, and the stated interest rate on the Natixis Facility was 6.34%.</w:t>
      </w:r>
    </w:p>
    <w:p>
      <w:pPr>
        <w:spacing w:after="0" w:line="13"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Borrowings under the Natixis Facility are secured by substantially all of the assets held by OFSCC-FS, which were $82,633 at September 30, 2026. The Company’s use of cash and cash equivalents held by OFSCC-FS is limited by the terms and conditions of the Natixis Facility, including but not limited to, the payment of interest expense and principal on the outstanding borrowings. As of September 30, 2026 and December 31, 2025, OFSCC-FS had cash and cash equivalents of $1,716 and $2,443, respectively. OFSCC-FS and the Company have each made customary representations and warranties under the Natixis Facility and are required to comply with various covenants, reporting requirements and other customary requirements for similar credit facilities.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27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the components of interest expense, cash paid for interest, effective interest rates and average outstanding balances for the Natixis Facility were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80" w:type="dxa"/>
            <w:vAlign w:val="bottom"/>
          </w:tcPr>
          <w:p>
            <w:pPr>
              <w:spacing w:after="0"/>
              <w:rPr>
                <w:sz w:val="18"/>
                <w:szCs w:val="18"/>
                <w:color w:val="auto"/>
              </w:rPr>
            </w:pP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4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w:t>
            </w: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4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9"/>
                <w:szCs w:val="19"/>
                <w:color w:val="auto"/>
              </w:rPr>
            </w:pPr>
          </w:p>
        </w:tc>
      </w:tr>
      <w:tr>
        <w:trPr>
          <w:trHeight w:val="223"/>
        </w:trPr>
        <w:tc>
          <w:tcPr>
            <w:tcW w:w="4440" w:type="dxa"/>
            <w:vAlign w:val="bottom"/>
            <w:shd w:val="clear" w:color="auto" w:fill="CFF0FC"/>
          </w:tcPr>
          <w:p>
            <w:pPr>
              <w:spacing w:after="0" w:line="222" w:lineRule="exact"/>
              <w:rPr>
                <w:sz w:val="20"/>
                <w:szCs w:val="20"/>
                <w:color w:val="auto"/>
              </w:rPr>
            </w:pPr>
            <w:r>
              <w:rPr>
                <w:rFonts w:ascii="Times New Roman" w:cs="Times New Roman" w:eastAsia="Times New Roman" w:hAnsi="Times New Roman"/>
                <w:sz w:val="18"/>
                <w:szCs w:val="18"/>
                <w:color w:val="auto"/>
              </w:rPr>
              <w:t>Stated interest expense</w:t>
            </w:r>
            <w:r>
              <w:rPr>
                <w:rFonts w:ascii="Times New Roman" w:cs="Times New Roman" w:eastAsia="Times New Roman" w:hAnsi="Times New Roman"/>
                <w:sz w:val="24"/>
                <w:szCs w:val="24"/>
                <w:color w:val="auto"/>
                <w:vertAlign w:val="superscript"/>
              </w:rPr>
              <w:t>(1)</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interest and debt financing costs</w:t>
            </w:r>
          </w:p>
        </w:tc>
        <w:tc>
          <w:tcPr>
            <w:tcW w:w="96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 expense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80" w:type="dxa"/>
            <w:vAlign w:val="bottom"/>
          </w:tcPr>
          <w:p>
            <w:pPr>
              <w:spacing w:after="0"/>
              <w:rPr>
                <w:sz w:val="19"/>
                <w:szCs w:val="19"/>
                <w:color w:val="auto"/>
              </w:rPr>
            </w:pPr>
          </w:p>
        </w:tc>
        <w:tc>
          <w:tcPr>
            <w:tcW w:w="3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300" w:type="dxa"/>
            <w:vAlign w:val="bottom"/>
          </w:tcPr>
          <w:p>
            <w:pPr>
              <w:spacing w:after="0"/>
              <w:rPr>
                <w:sz w:val="19"/>
                <w:szCs w:val="19"/>
                <w:color w:val="auto"/>
              </w:rPr>
            </w:pPr>
          </w:p>
        </w:tc>
        <w:tc>
          <w:tcPr>
            <w:tcW w:w="2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interest rate</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10.95 %</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8.13 %</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Average outstanding balance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16,202</w:t>
            </w:r>
          </w:p>
        </w:tc>
        <w:tc>
          <w:tcPr>
            <w:tcW w:w="280" w:type="dxa"/>
            <w:vAlign w:val="bottom"/>
          </w:tcPr>
          <w:p>
            <w:pPr>
              <w:spacing w:after="0"/>
              <w:rPr>
                <w:sz w:val="20"/>
                <w:szCs w:val="20"/>
                <w:color w:val="auto"/>
              </w:rPr>
            </w:pPr>
          </w:p>
        </w:tc>
        <w:tc>
          <w:tcPr>
            <w:tcW w:w="3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29,390</w:t>
            </w:r>
          </w:p>
        </w:tc>
        <w:tc>
          <w:tcPr>
            <w:tcW w:w="300" w:type="dxa"/>
            <w:vAlign w:val="bottom"/>
          </w:tcPr>
          <w:p>
            <w:pPr>
              <w:spacing w:after="0"/>
              <w:rPr>
                <w:sz w:val="20"/>
                <w:szCs w:val="20"/>
                <w:color w:val="auto"/>
              </w:rPr>
            </w:pPr>
          </w:p>
        </w:tc>
        <w:tc>
          <w:tcPr>
            <w:tcW w:w="2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(1) Stated interest expense includes unused fees.</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r>
    </w:tbl>
    <w:p>
      <w:pPr>
        <w:spacing w:after="0" w:line="86" w:lineRule="exact"/>
        <w:rPr>
          <w:sz w:val="20"/>
          <w:szCs w:val="20"/>
          <w:color w:val="auto"/>
        </w:rPr>
      </w:pPr>
    </w:p>
    <w:p>
      <w:pPr>
        <w:ind w:righ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BNP Facility: </w:t>
      </w:r>
      <w:r>
        <w:rPr>
          <w:rFonts w:ascii="Times New Roman" w:cs="Times New Roman" w:eastAsia="Times New Roman" w:hAnsi="Times New Roman"/>
          <w:sz w:val="18"/>
          <w:szCs w:val="18"/>
          <w:color w:val="auto"/>
        </w:rPr>
        <w:t>OFSCC-FS was party to the BNP Facility, which provided for borrowings in an aggregate principal amount up to $80,000 during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reinvestment period. Borrowings under the BNP Facility bore interest at a variable rate of SOFR plus a variable margin (2.65% floor), which was determined on the basis of industry-recognized portfolio company metrics at the time of funding.</w:t>
      </w:r>
    </w:p>
    <w:p>
      <w:pPr>
        <w:spacing w:after="0" w:line="6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On February 18, 2026, in connection with the closing of the Natixis Facility, OFSCC-FS repaid in full all outstanding obligations due, and terminated all commitments, under the BNP Facility. All liens securing the BNP Facility were released upon such repayment. In connection with the termination of the facility, the Company recognized a loss on extinguishment of debt of $89 related to the acceleration of deferred financing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and December 31, 2025, the BNP Facility had outstanding debt of $0 and $50,950, respectively.</w:t>
      </w:r>
    </w:p>
    <w:p>
      <w:pPr>
        <w:spacing w:after="0" w:line="63" w:lineRule="exact"/>
        <w:rPr>
          <w:sz w:val="20"/>
          <w:szCs w:val="20"/>
          <w:color w:val="auto"/>
        </w:rPr>
      </w:pPr>
    </w:p>
    <w:p>
      <w:pPr>
        <w:jc w:val="both"/>
        <w:ind w:right="320"/>
        <w:spacing w:after="0" w:line="271"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the components of interest expense, cash paid for interest, average interest rates and average outstanding balances for the BNP Facility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4980" w:type="dxa"/>
            <w:vAlign w:val="bottom"/>
          </w:tcPr>
          <w:p>
            <w:pPr>
              <w:spacing w:after="0"/>
              <w:rPr>
                <w:sz w:val="20"/>
                <w:szCs w:val="20"/>
                <w:color w:val="auto"/>
              </w:rPr>
            </w:pPr>
          </w:p>
        </w:tc>
        <w:tc>
          <w:tcPr>
            <w:tcW w:w="3440" w:type="dxa"/>
            <w:vAlign w:val="bottom"/>
            <w:gridSpan w:val="7"/>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49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9"/>
                <w:szCs w:val="19"/>
                <w:color w:val="auto"/>
              </w:rPr>
            </w:pPr>
          </w:p>
        </w:tc>
      </w:tr>
      <w:tr>
        <w:trPr>
          <w:trHeight w:val="223"/>
        </w:trPr>
        <w:tc>
          <w:tcPr>
            <w:tcW w:w="4980" w:type="dxa"/>
            <w:vAlign w:val="bottom"/>
            <w:shd w:val="clear" w:color="auto" w:fill="CFF0FC"/>
          </w:tcPr>
          <w:p>
            <w:pPr>
              <w:spacing w:after="0" w:line="222" w:lineRule="exact"/>
              <w:rPr>
                <w:sz w:val="20"/>
                <w:szCs w:val="20"/>
                <w:color w:val="auto"/>
              </w:rPr>
            </w:pPr>
            <w:r>
              <w:rPr>
                <w:rFonts w:ascii="Times New Roman" w:cs="Times New Roman" w:eastAsia="Times New Roman" w:hAnsi="Times New Roman"/>
                <w:sz w:val="18"/>
                <w:szCs w:val="18"/>
                <w:color w:val="auto"/>
              </w:rPr>
              <w:t>Stated interest expense</w:t>
            </w:r>
            <w:r>
              <w:rPr>
                <w:rFonts w:ascii="Times New Roman" w:cs="Times New Roman" w:eastAsia="Times New Roman" w:hAnsi="Times New Roman"/>
                <w:sz w:val="24"/>
                <w:szCs w:val="24"/>
                <w:color w:val="auto"/>
                <w:vertAlign w:val="superscript"/>
              </w:rPr>
              <w:t>(1)</w:t>
            </w:r>
          </w:p>
        </w:tc>
        <w:tc>
          <w:tcPr>
            <w:tcW w:w="1140" w:type="dxa"/>
            <w:vAlign w:val="bottom"/>
            <w:shd w:val="clear" w:color="auto" w:fill="CFF0FC"/>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20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140" w:type="dxa"/>
            <w:vAlign w:val="bottom"/>
          </w:tcPr>
          <w:p>
            <w:pPr>
              <w:spacing w:after="0"/>
              <w:rPr>
                <w:sz w:val="19"/>
                <w:szCs w:val="19"/>
                <w:color w:val="auto"/>
              </w:rPr>
            </w:pP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tcPr>
          <w:p>
            <w:pPr>
              <w:spacing w:after="0"/>
              <w:rPr>
                <w:sz w:val="19"/>
                <w:szCs w:val="19"/>
                <w:color w:val="auto"/>
              </w:rPr>
            </w:pPr>
          </w:p>
        </w:tc>
      </w:tr>
      <w:tr>
        <w:trPr>
          <w:trHeight w:val="223"/>
        </w:trPr>
        <w:tc>
          <w:tcPr>
            <w:tcW w:w="4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interest and debt financing costs</w:t>
            </w:r>
          </w:p>
        </w:tc>
        <w:tc>
          <w:tcPr>
            <w:tcW w:w="1140" w:type="dxa"/>
            <w:vAlign w:val="bottom"/>
            <w:tcBorders>
              <w:top w:val="single" w:sz="8" w:color="auto"/>
            </w:tcBorders>
            <w:shd w:val="clear" w:color="auto" w:fill="CFF0FC"/>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20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 expense</w:t>
            </w:r>
          </w:p>
        </w:tc>
        <w:tc>
          <w:tcPr>
            <w:tcW w:w="114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60" w:type="dxa"/>
            <w:vAlign w:val="bottom"/>
          </w:tcPr>
          <w:p>
            <w:pPr>
              <w:spacing w:after="0"/>
              <w:rPr>
                <w:sz w:val="19"/>
                <w:szCs w:val="19"/>
                <w:color w:val="auto"/>
              </w:rPr>
            </w:pPr>
          </w:p>
        </w:tc>
        <w:tc>
          <w:tcPr>
            <w:tcW w:w="32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60" w:type="dxa"/>
            <w:vAlign w:val="bottom"/>
          </w:tcPr>
          <w:p>
            <w:pPr>
              <w:spacing w:after="0"/>
              <w:rPr>
                <w:sz w:val="19"/>
                <w:szCs w:val="19"/>
                <w:color w:val="auto"/>
              </w:rPr>
            </w:pP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20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interest rate</w:t>
            </w:r>
          </w:p>
        </w:tc>
        <w:tc>
          <w:tcPr>
            <w:tcW w:w="1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8.14 %</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7.12 %</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8.25 %</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Average outstanding balance</w:t>
            </w:r>
          </w:p>
        </w:tc>
        <w:tc>
          <w:tcPr>
            <w:tcW w:w="114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62,418</w:t>
            </w:r>
          </w:p>
        </w:tc>
        <w:tc>
          <w:tcPr>
            <w:tcW w:w="260" w:type="dxa"/>
            <w:vAlign w:val="bottom"/>
          </w:tcPr>
          <w:p>
            <w:pPr>
              <w:spacing w:after="0"/>
              <w:rPr>
                <w:sz w:val="20"/>
                <w:szCs w:val="20"/>
                <w:color w:val="auto"/>
              </w:rPr>
            </w:pPr>
          </w:p>
        </w:tc>
        <w:tc>
          <w:tcPr>
            <w:tcW w:w="32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260" w:type="dxa"/>
            <w:vAlign w:val="bottom"/>
          </w:tcPr>
          <w:p>
            <w:pPr>
              <w:spacing w:after="0"/>
              <w:rPr>
                <w:sz w:val="20"/>
                <w:szCs w:val="20"/>
                <w:color w:val="auto"/>
              </w:rPr>
            </w:pP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65,084</w:t>
            </w:r>
          </w:p>
        </w:tc>
        <w:tc>
          <w:tcPr>
            <w:tcW w:w="200" w:type="dxa"/>
            <w:vAlign w:val="bottom"/>
          </w:tcPr>
          <w:p>
            <w:pPr>
              <w:spacing w:after="0"/>
              <w:rPr>
                <w:sz w:val="20"/>
                <w:szCs w:val="20"/>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For the three and nine months ended September 30, 2025, stated interest expense includes unused fees.</w:t>
      </w:r>
    </w:p>
    <w:p>
      <w:pPr>
        <w:spacing w:after="0" w:line="73"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Banc of California Credit Facility: </w:t>
      </w:r>
      <w:r>
        <w:rPr>
          <w:rFonts w:ascii="Times New Roman" w:cs="Times New Roman" w:eastAsia="Times New Roman" w:hAnsi="Times New Roman"/>
          <w:sz w:val="18"/>
          <w:szCs w:val="18"/>
          <w:color w:val="auto"/>
        </w:rPr>
        <w:t>On March 7, 2018, the Company entered into the Banc of California Credit Facility. The Banc of California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 currently bears interest at a variable rate of the Prime Rate plus a 0.25% margin, with a 5.00% floor, and includes an annual commitment fee of 0.50% of the maximum commitment amount. The Banc of California Credit Facility is scheduled to mature on February 28, 2028.</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9, 2026, the Company amended the Banc of California Credit Facility to extend the maturity date from February 28, 2026 to February 28, 2028.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27, 2026, the Company amended the Banc of California Credit Facility to, among other things: (i) reduce the minimum tangible net asset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 from $100,000 to $75,000; (ii) reduce the covenant requiring minimum quarterly net investment income after management/incentive fees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to $1,000 for each of the quarters ending March 31, 2026, June 30, 2026 and September 30, 2026, after which the minimum quarterly net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after management/incentive fees covenant shall return to $2,000; and (iii) decrease the Company’s maximum commitment amount from $25,000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 In connection with the maximum commitment reduction from $25,000 to $15,000, the Company recognized a loss on extinguishment of debt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 related to the acceleration of deferred financing costs.</w:t>
      </w:r>
    </w:p>
    <w:p>
      <w:pPr>
        <w:spacing w:after="0" w:line="9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September 30, 2026, Banc of California provided a covenant waiver for the quarter ended September 30, 2026 related to the requirement of a $1,000 minimum quarterly net investment income, after management and incentive fees.</w:t>
      </w:r>
    </w:p>
    <w:p>
      <w:pPr>
        <w:spacing w:after="0" w:line="5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outstanding debt under the Banc of California Credit Facility of $0 and $4,500, respectively. As of September 30, 2026, the unused commitment under the Banc of California Credit Facility was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42" w:name="page43"/>
    <w:bookmarkEnd w:id="42"/>
    <w:p>
      <w:pPr>
        <w:ind w:left="7"/>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15" w:lineRule="exact"/>
        <w:rPr>
          <w:sz w:val="20"/>
          <w:szCs w:val="20"/>
          <w:color w:val="auto"/>
        </w:rPr>
      </w:pPr>
    </w:p>
    <w:p>
      <w:pPr>
        <w:ind w:left="7" w:right="80"/>
        <w:spacing w:after="0" w:line="282" w:lineRule="auto"/>
        <w:rPr>
          <w:sz w:val="20"/>
          <w:szCs w:val="20"/>
          <w:color w:val="auto"/>
        </w:rPr>
      </w:pPr>
      <w:r>
        <w:rPr>
          <w:rFonts w:ascii="Times New Roman" w:cs="Times New Roman" w:eastAsia="Times New Roman" w:hAnsi="Times New Roman"/>
          <w:sz w:val="18"/>
          <w:szCs w:val="18"/>
          <w:color w:val="auto"/>
        </w:rPr>
        <w:t>$15,000, subject to the terms of the borrowing base and other covenants. As of September 30, 2026, the stated interest rate on the Banc of California Credit Facility was 7.25%.</w:t>
      </w:r>
    </w:p>
    <w:p>
      <w:pPr>
        <w:spacing w:after="0" w:line="54" w:lineRule="exact"/>
        <w:rPr>
          <w:sz w:val="20"/>
          <w:szCs w:val="20"/>
          <w:color w:val="auto"/>
        </w:rPr>
      </w:pPr>
    </w:p>
    <w:p>
      <w:pPr>
        <w:ind w:left="7" w:right="40"/>
        <w:spacing w:after="0" w:line="277" w:lineRule="auto"/>
        <w:rPr>
          <w:sz w:val="20"/>
          <w:szCs w:val="20"/>
          <w:color w:val="auto"/>
        </w:rPr>
      </w:pPr>
      <w:r>
        <w:rPr>
          <w:rFonts w:ascii="Times New Roman" w:cs="Times New Roman" w:eastAsia="Times New Roman" w:hAnsi="Times New Roman"/>
          <w:sz w:val="17"/>
          <w:szCs w:val="17"/>
          <w:color w:val="auto"/>
        </w:rPr>
        <w:t>The maximum availability of the Banc of California Credit Facility is equal to 50% of the aggregate outstanding principal amount of eligible loans included in the borrowing base, which typically excludes Structured Finance Securities, foreign loans, and non-performing loans, and as otherwise specified in the BLA. The Banc of California Credit Facility is guaranteed by OFSCC-MB and secured by all of our and OFSCC-MB’s current and future assets, excluding assets held by OFSCC-FS, and the Company’s partnership interests and assets in SBIC I LP. The Company has made customary representations and warranties and is required to comply with various covenants, reporting requirements and other customary requirements for similar credit facilities.</w:t>
      </w:r>
    </w:p>
    <w:p>
      <w:pPr>
        <w:spacing w:after="0" w:line="60" w:lineRule="exact"/>
        <w:rPr>
          <w:sz w:val="20"/>
          <w:szCs w:val="20"/>
          <w:color w:val="auto"/>
        </w:rPr>
      </w:pPr>
    </w:p>
    <w:p>
      <w:pPr>
        <w:ind w:left="7" w:right="32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the components of interest expense, cash paid for interest, average interest rates and average outstanding balances for the Banc of California Credit Facility were as follows:</w:t>
      </w:r>
    </w:p>
    <w:p>
      <w:pPr>
        <w:spacing w:after="0" w:line="104" w:lineRule="exact"/>
        <w:rPr>
          <w:sz w:val="20"/>
          <w:szCs w:val="20"/>
          <w:color w:val="auto"/>
        </w:rPr>
      </w:pPr>
    </w:p>
    <w:tbl>
      <w:tblPr>
        <w:tblLayout w:type="fixed"/>
        <w:tblInd w:w="7"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1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w:t>
            </w:r>
          </w:p>
        </w:tc>
      </w:tr>
      <w:tr>
        <w:trPr>
          <w:trHeight w:val="238"/>
        </w:trPr>
        <w:tc>
          <w:tcPr>
            <w:tcW w:w="5780" w:type="dxa"/>
            <w:vAlign w:val="bottom"/>
          </w:tcPr>
          <w:p>
            <w:pPr>
              <w:spacing w:after="0"/>
              <w:rPr>
                <w:sz w:val="20"/>
                <w:szCs w:val="20"/>
                <w:color w:val="auto"/>
              </w:rPr>
            </w:pPr>
          </w:p>
        </w:tc>
        <w:tc>
          <w:tcPr>
            <w:tcW w:w="218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3"/>
        </w:trPr>
        <w:tc>
          <w:tcPr>
            <w:tcW w:w="5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Stated interest expense</w:t>
            </w: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5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interest and debt financing costs</w:t>
            </w: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 expense</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5780" w:type="dxa"/>
            <w:vAlign w:val="bottom"/>
            <w:shd w:val="clear" w:color="auto" w:fill="CFF0FC"/>
          </w:tcPr>
          <w:p>
            <w:pPr>
              <w:spacing w:after="0" w:line="229" w:lineRule="exact"/>
              <w:rPr>
                <w:sz w:val="20"/>
                <w:szCs w:val="20"/>
                <w:color w:val="auto"/>
              </w:rPr>
            </w:pPr>
            <w:r>
              <w:rPr>
                <w:rFonts w:ascii="Times New Roman" w:cs="Times New Roman" w:eastAsia="Times New Roman" w:hAnsi="Times New Roman"/>
                <w:sz w:val="18"/>
                <w:szCs w:val="18"/>
                <w:color w:val="auto"/>
              </w:rPr>
              <w:t>Effective interest rate</w:t>
            </w:r>
            <w:r>
              <w:rPr>
                <w:rFonts w:ascii="Times New Roman" w:cs="Times New Roman" w:eastAsia="Times New Roman" w:hAnsi="Times New Roman"/>
                <w:sz w:val="24"/>
                <w:szCs w:val="24"/>
                <w:color w:val="auto"/>
                <w:vertAlign w:val="superscript"/>
              </w:rPr>
              <w:t>(1)</w:t>
            </w: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9.15 %</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Average outstanding balance</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9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4,311</w:t>
            </w:r>
          </w:p>
        </w:tc>
        <w:tc>
          <w:tcPr>
            <w:tcW w:w="140" w:type="dxa"/>
            <w:vAlign w:val="bottom"/>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1,364</w:t>
            </w:r>
          </w:p>
        </w:tc>
      </w:tr>
    </w:tbl>
    <w:p>
      <w:pPr>
        <w:spacing w:after="0" w:line="85" w:lineRule="exact"/>
        <w:rPr>
          <w:sz w:val="20"/>
          <w:szCs w:val="20"/>
          <w:color w:val="auto"/>
        </w:rPr>
      </w:pPr>
    </w:p>
    <w:p>
      <w:pPr>
        <w:ind w:left="7" w:right="120" w:hanging="7"/>
        <w:spacing w:after="0" w:line="282" w:lineRule="auto"/>
        <w:tabs>
          <w:tab w:leader="none" w:pos="2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 due to a minimal average outstanding balance relative to the size of the total commitment and the amount of commitment fees incurred during the periods.</w:t>
      </w:r>
    </w:p>
    <w:p>
      <w:pPr>
        <w:spacing w:after="0" w:line="50" w:lineRule="exact"/>
        <w:rPr>
          <w:sz w:val="20"/>
          <w:szCs w:val="20"/>
          <w:color w:val="auto"/>
        </w:rPr>
      </w:pPr>
    </w:p>
    <w:p>
      <w:pPr>
        <w:ind w:left="7" w:right="320"/>
        <w:spacing w:after="0" w:line="286" w:lineRule="auto"/>
        <w:rPr>
          <w:sz w:val="20"/>
          <w:szCs w:val="20"/>
          <w:color w:val="auto"/>
        </w:rPr>
      </w:pPr>
      <w:r>
        <w:rPr>
          <w:rFonts w:ascii="Times New Roman" w:cs="Times New Roman" w:eastAsia="Times New Roman" w:hAnsi="Times New Roman"/>
          <w:sz w:val="18"/>
          <w:szCs w:val="18"/>
          <w:b w:val="1"/>
          <w:bCs w:val="1"/>
          <w:color w:val="auto"/>
        </w:rPr>
        <w:t>Unsecured Notes</w:t>
      </w:r>
      <w:r>
        <w:rPr>
          <w:rFonts w:ascii="Times New Roman" w:cs="Times New Roman" w:eastAsia="Times New Roman" w:hAnsi="Times New Roman"/>
          <w:sz w:val="18"/>
          <w:szCs w:val="18"/>
          <w:color w:val="auto"/>
        </w:rPr>
        <w:t>: As of September 30, 2026 and December 31, 2025, the Company had $129,000 and $165,000, respectively, in aggregate principal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Unsecured Notes.</w:t>
      </w:r>
    </w:p>
    <w:p>
      <w:pPr>
        <w:spacing w:after="0" w:line="47" w:lineRule="exact"/>
        <w:rPr>
          <w:sz w:val="20"/>
          <w:szCs w:val="20"/>
          <w:color w:val="auto"/>
        </w:rPr>
      </w:pPr>
    </w:p>
    <w:p>
      <w:pPr>
        <w:ind w:left="7"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Unsecured Notes Due October 2028 (Nasdaq: OFSSH)</w:t>
      </w:r>
      <w:r>
        <w:rPr>
          <w:rFonts w:ascii="Times New Roman" w:cs="Times New Roman" w:eastAsia="Times New Roman" w:hAnsi="Times New Roman"/>
          <w:sz w:val="18"/>
          <w:szCs w:val="18"/>
          <w:color w:val="auto"/>
        </w:rPr>
        <w:t>: On October 28, 2021 and November 1, 2021, the Company issued $55,000 in aggregate principal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unsecured notes. The Unsecured Notes Due October 2028 bear interest at a rate of 4.95% per year payable semi-annually and mature on October 31, 2028. The Company may redeem the Unsecured Notes Due October 2028 in whole or in part at any time.</w:t>
      </w:r>
    </w:p>
    <w:p>
      <w:pPr>
        <w:spacing w:after="0" w:line="63" w:lineRule="exact"/>
        <w:rPr>
          <w:sz w:val="20"/>
          <w:szCs w:val="20"/>
          <w:color w:val="auto"/>
        </w:rPr>
      </w:pPr>
    </w:p>
    <w:p>
      <w:pPr>
        <w:ind w:left="7"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Unsecured Notes Due July 2028 (Nasdaq: OFSSO)</w:t>
      </w:r>
      <w:r>
        <w:rPr>
          <w:rFonts w:ascii="Times New Roman" w:cs="Times New Roman" w:eastAsia="Times New Roman" w:hAnsi="Times New Roman"/>
          <w:sz w:val="18"/>
          <w:szCs w:val="18"/>
          <w:color w:val="auto"/>
        </w:rPr>
        <w:t>: On July 23, 2025, the Company closed the public offering of $69,000 aggregate principal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Unsecured Notes Due July 2028, which included $9,000 of aggregate principal amount related to the underwriters’ option to cover overallotments. The net proceeds to the Company from the Unsecured Notes Due July 2028, after deducting underwriting fees of $1,380 and offering expenses of $326, was $67,294. The Unsecured Notes Due July 2028 bear interest at a stated rate of 7.50% and will mature on July 31, 2028. The Company may redeem the Unsecured Notes Due July 2028 in whole or in part at any time.</w:t>
      </w:r>
    </w:p>
    <w:p>
      <w:pPr>
        <w:spacing w:after="0" w:line="75" w:lineRule="exact"/>
        <w:rPr>
          <w:sz w:val="20"/>
          <w:szCs w:val="20"/>
          <w:color w:val="auto"/>
        </w:rPr>
      </w:pPr>
    </w:p>
    <w:p>
      <w:pPr>
        <w:ind w:left="7" w:right="320"/>
        <w:spacing w:after="0" w:line="266" w:lineRule="auto"/>
        <w:rPr>
          <w:sz w:val="20"/>
          <w:szCs w:val="20"/>
          <w:color w:val="auto"/>
        </w:rPr>
      </w:pPr>
      <w:r>
        <w:rPr>
          <w:rFonts w:ascii="Times New Roman" w:cs="Times New Roman" w:eastAsia="Times New Roman" w:hAnsi="Times New Roman"/>
          <w:sz w:val="18"/>
          <w:szCs w:val="18"/>
          <w:color w:val="auto"/>
        </w:rPr>
        <w:t>On August 28, 2026, the Company issued notices to the holders of the Unsecured Notes Due July 2028 regarding the exercise of its option to redeem on September 29, 2026, $20,000 of the issued and outstanding amount of such notes, plus accrued interest of $246. The Company recognized a loss on extinguishment of debt of $310 related to the acceleration of unamortized deferred debt issuance costs on the redeemed notes.</w:t>
      </w:r>
    </w:p>
    <w:p>
      <w:pPr>
        <w:spacing w:after="0" w:line="6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As of September 30, 2026, the Company had $49,000 of outstanding Unsecured Notes Due July 2028.</w:t>
      </w:r>
    </w:p>
    <w:p>
      <w:pPr>
        <w:spacing w:after="0" w:line="117" w:lineRule="exact"/>
        <w:rPr>
          <w:sz w:val="20"/>
          <w:szCs w:val="20"/>
          <w:color w:val="auto"/>
        </w:rPr>
      </w:pPr>
    </w:p>
    <w:p>
      <w:pPr>
        <w:ind w:left="7"/>
        <w:spacing w:after="0" w:line="256" w:lineRule="auto"/>
        <w:rPr>
          <w:sz w:val="20"/>
          <w:szCs w:val="20"/>
          <w:color w:val="auto"/>
        </w:rPr>
      </w:pPr>
      <w:r>
        <w:rPr>
          <w:rFonts w:ascii="Times New Roman" w:cs="Times New Roman" w:eastAsia="Times New Roman" w:hAnsi="Times New Roman"/>
          <w:sz w:val="18"/>
          <w:szCs w:val="18"/>
          <w:color w:val="auto"/>
        </w:rPr>
        <w:t>The indenture governing the Unsecured Notes Due July 2028 and Unsecured Notes Due October 2028 contains certain covenants, including: (i) prohibiting additional borrowings, including through the issuance of additional debt securities, unless the Company's asset coverage, as defined in the 1940 Act, after giving effect to any exemptive relief granted to the Company by the SEC, equals at least 150% after such borrowings; and (ii) prohibiting (a) the declaration of any cash dividend or distribution upon any class of the Company’s capital stock (except to the extent necessary for the Company to maintain its treatment as a RIC under Subchapter M of the Code), or (b) the purchase of any capital stock unless the Company’s asset coverage, as defined in the 1940 Act, is at least 150% at the time of such capital transaction and after deducting the amount of such transaction.</w:t>
      </w:r>
    </w:p>
    <w:p>
      <w:pPr>
        <w:spacing w:after="0" w:line="75" w:lineRule="exact"/>
        <w:rPr>
          <w:sz w:val="20"/>
          <w:szCs w:val="20"/>
          <w:color w:val="auto"/>
        </w:rPr>
      </w:pPr>
    </w:p>
    <w:p>
      <w:pPr>
        <w:ind w:left="7"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Unsecured Note Due August 2029</w:t>
      </w:r>
      <w:r>
        <w:rPr>
          <w:rFonts w:ascii="Times New Roman" w:cs="Times New Roman" w:eastAsia="Times New Roman" w:hAnsi="Times New Roman"/>
          <w:sz w:val="18"/>
          <w:szCs w:val="18"/>
          <w:color w:val="auto"/>
        </w:rPr>
        <w:t>: On August 8, 2025, the Company entered into the Securities Purchase Agreement, pursuant to which the Company sold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 private placement a $25,000 principal amount Unsecured Note Due August 2029. The net proceeds to the Company from the Unsecured Note Due August 2029, after deducting discounts of $750 and offering expenses of $48, was $24,202. The Unsecured Note Due August 2029 bears interest at a stated rate of 8.00% and will mature on August 8, 2029. The</w:t>
      </w:r>
    </w:p>
    <w:p>
      <w:pPr>
        <w:spacing w:after="0" w:line="18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760" w:right="318"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1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Company may redeem the Unsecured Note Due August 2029 in whole or in part at any time. The Securities Purchase Agreement contains customary terms and conditions for unsecured notes issued in a private placement, including, without limitation, affirmative and negative covenants such as information reporting, maintenance of the Company’s status as a BDC within the meaning of the 1940 Act and minimum asset coverage ratio.</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Unsecured Notes Due February 2026</w:t>
      </w:r>
      <w:r>
        <w:rPr>
          <w:rFonts w:ascii="Times New Roman" w:cs="Times New Roman" w:eastAsia="Times New Roman" w:hAnsi="Times New Roman"/>
          <w:sz w:val="17"/>
          <w:szCs w:val="17"/>
          <w:color w:val="auto"/>
        </w:rPr>
        <w:t>: On February 10, 2021 and March 18, 2021, the Company issued $125,000 in aggregate principal of unsecured notes.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Unsecured Notes Due February 2026 bore interest at a rate of 4.75% per year and were scheduled to mature on February 10, 2026.</w:t>
      </w:r>
    </w:p>
    <w:p>
      <w:pPr>
        <w:spacing w:after="0" w:line="9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8, 2026, the Company issued notices to the holders of the Unsecured Notes Due February 2026 regarding the exercise of its option to redeem on February 9, 2026 $16,000 of the Unsecured Notes Due February 2026, which was equal to the remainder of the outstanding Unsecured Notes Due February 2026, plus accrued interest of $378.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Company had no outstanding Unsecured Notes Due February 2026.</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Unsecured Notes are direct unsecured obligations and rank equal in right of payment with all current and future unsecured indebtedness of the Company. Because the Unsecured Notes are not secured by any of the Company’s assets, they are effectively subordinated to all existing and future secured unsubordinated indebtedness (or any indebtedness that is initially unsecured as to which the Company subsequently grants a security interest), to the extent of the value of the assets securing such indebtedness, including, without limitation, borrowings under the Banc of California Credit Facility.</w:t>
      </w:r>
    </w:p>
    <w:p>
      <w:pPr>
        <w:spacing w:after="0" w:line="7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the components of interest expense, cash paid for interest, average interest rates and average outstanding balances for the Unsecured Notes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5"/>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4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60" w:type="dxa"/>
            <w:vAlign w:val="bottom"/>
            <w:tcBorders>
              <w:bottom w:val="single" w:sz="8" w:color="auto"/>
            </w:tcBorders>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4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Stated interest expense</w:t>
            </w: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2,466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2,908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7,495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7,238</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811</w:t>
            </w:r>
          </w:p>
        </w:tc>
      </w:tr>
      <w:tr>
        <w:trPr>
          <w:trHeight w:val="223"/>
        </w:trPr>
        <w:tc>
          <w:tcPr>
            <w:tcW w:w="4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interest and debt financing costs</w:t>
            </w: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2,711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3,230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8,245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8,049</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 expense</w:t>
            </w:r>
          </w:p>
        </w:tc>
        <w:tc>
          <w:tcPr>
            <w:tcW w:w="158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2,720</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3,753</w:t>
            </w:r>
          </w:p>
        </w:tc>
        <w:tc>
          <w:tcPr>
            <w:tcW w:w="36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8,047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8,083</w:t>
            </w:r>
          </w:p>
        </w:tc>
      </w:tr>
      <w:tr>
        <w:trPr>
          <w:trHeight w:val="23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interest rate</w:t>
            </w: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7.24 %</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Average outstanding balance</w:t>
            </w:r>
          </w:p>
        </w:tc>
        <w:tc>
          <w:tcPr>
            <w:tcW w:w="158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148,565</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207,815</w:t>
            </w:r>
          </w:p>
        </w:tc>
        <w:tc>
          <w:tcPr>
            <w:tcW w:w="36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151,139</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189,374</w:t>
            </w: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scheduled maturities of the principal balances of the Company’s outstanding borrowings as of September 30, 2026: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01"/>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After 5</w:t>
            </w:r>
          </w:p>
        </w:tc>
      </w:tr>
      <w:tr>
        <w:trPr>
          <w:trHeight w:val="238"/>
        </w:trPr>
        <w:tc>
          <w:tcPr>
            <w:tcW w:w="4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 to 3 years</w:t>
            </w: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 to 5 years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23"/>
        </w:trPr>
        <w:tc>
          <w:tcPr>
            <w:tcW w:w="4820" w:type="dxa"/>
            <w:vAlign w:val="bottom"/>
            <w:shd w:val="clear" w:color="auto" w:fill="CFF0FC"/>
          </w:tcPr>
          <w:p>
            <w:pPr>
              <w:spacing w:after="0" w:line="222" w:lineRule="exact"/>
              <w:rPr>
                <w:sz w:val="20"/>
                <w:szCs w:val="20"/>
                <w:color w:val="auto"/>
              </w:rPr>
            </w:pPr>
            <w:r>
              <w:rPr>
                <w:rFonts w:ascii="Times New Roman" w:cs="Times New Roman" w:eastAsia="Times New Roman" w:hAnsi="Times New Roman"/>
                <w:sz w:val="18"/>
                <w:szCs w:val="18"/>
                <w:color w:val="auto"/>
              </w:rPr>
              <w:t>Banc of California Credit Facility</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Natixis Facility</w:t>
            </w: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Unsecured Notes</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129,000</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129,000</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154,400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129,000</w:t>
            </w:r>
          </w:p>
        </w:tc>
        <w:tc>
          <w:tcPr>
            <w:tcW w:w="44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-179070</wp:posOffset>
            </wp:positionV>
            <wp:extent cx="68580" cy="1797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4744720</wp:posOffset>
            </wp:positionH>
            <wp:positionV relativeFrom="paragraph">
              <wp:posOffset>-179070</wp:posOffset>
            </wp:positionV>
            <wp:extent cx="77470" cy="1797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5558790</wp:posOffset>
            </wp:positionH>
            <wp:positionV relativeFrom="paragraph">
              <wp:posOffset>-179070</wp:posOffset>
            </wp:positionV>
            <wp:extent cx="77470" cy="1797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6373495</wp:posOffset>
            </wp:positionH>
            <wp:positionV relativeFrom="paragraph">
              <wp:posOffset>-179070</wp:posOffset>
            </wp:positionV>
            <wp:extent cx="77470" cy="1797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7470" cy="17970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As of September 30, 2026, the Banc of California Credit Facility had no outstanding balance and is scheduled to mature on February 28, 2028.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2026 and 2025, the average dollar borrowings and weighted average effective interest rate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outstanding borrowings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5"/>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w:t>
            </w:r>
          </w:p>
        </w:tc>
      </w:tr>
      <w:tr>
        <w:trPr>
          <w:trHeight w:val="238"/>
        </w:trPr>
        <w:tc>
          <w:tcPr>
            <w:tcW w:w="5400" w:type="dxa"/>
            <w:vAlign w:val="bottom"/>
          </w:tcPr>
          <w:p>
            <w:pPr>
              <w:spacing w:after="0"/>
              <w:rPr>
                <w:sz w:val="20"/>
                <w:szCs w:val="20"/>
                <w:color w:val="auto"/>
              </w:rPr>
            </w:pPr>
          </w:p>
        </w:tc>
        <w:tc>
          <w:tcPr>
            <w:tcW w:w="302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5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dollar borrowings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164,833</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270,233</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193,742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255,822</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effective interest rate</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643"/>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63"/>
        </w:trPr>
        <w:tc>
          <w:tcPr>
            <w:tcW w:w="5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44" w:name="page45"/>
    <w:bookmarkEnd w:id="44"/>
    <w:p>
      <w:pPr>
        <w:ind w:left="7"/>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25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Note 8. Financial Highlights</w:t>
      </w:r>
    </w:p>
    <w:p>
      <w:pPr>
        <w:spacing w:after="0" w:line="6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The following is a schedule of financial highlights for the three and nine months ended September 30, 2026 and 2025:</w:t>
      </w:r>
    </w:p>
    <w:p>
      <w:pPr>
        <w:spacing w:after="0" w:line="106" w:lineRule="exact"/>
        <w:rPr>
          <w:sz w:val="20"/>
          <w:szCs w:val="20"/>
          <w:color w:val="auto"/>
        </w:rPr>
      </w:pPr>
    </w:p>
    <w:tbl>
      <w:tblPr>
        <w:tblLayout w:type="fixed"/>
        <w:tblInd w:w="7"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Per share operating performance:</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Net asset value per share at beginning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8.41</w:t>
            </w:r>
          </w:p>
        </w:tc>
        <w:tc>
          <w:tcPr>
            <w:tcW w:w="4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10.91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9.19</w:t>
            </w:r>
          </w:p>
        </w:tc>
        <w:tc>
          <w:tcPr>
            <w:tcW w:w="3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12.85</w:t>
            </w:r>
          </w:p>
        </w:tc>
      </w:tr>
      <w:tr>
        <w:trPr>
          <w:trHeight w:val="219"/>
        </w:trPr>
        <w:tc>
          <w:tcPr>
            <w:tcW w:w="508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16"/>
                <w:szCs w:val="16"/>
                <w:color w:val="auto"/>
              </w:rPr>
              <w:t>Net investment income</w:t>
            </w:r>
            <w:r>
              <w:rPr>
                <w:rFonts w:ascii="Times New Roman" w:cs="Times New Roman" w:eastAsia="Times New Roman" w:hAnsi="Times New Roman"/>
                <w:sz w:val="21"/>
                <w:szCs w:val="21"/>
                <w:color w:val="auto"/>
                <w:vertAlign w:val="superscript"/>
              </w:rPr>
              <w:t>(1)</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0.72</w:t>
            </w:r>
          </w:p>
        </w:tc>
      </w:tr>
      <w:tr>
        <w:trPr>
          <w:trHeight w:val="216"/>
        </w:trPr>
        <w:tc>
          <w:tcPr>
            <w:tcW w:w="50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Net realized loss on investments, net of taxes</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(0.85)</w:t>
            </w:r>
          </w:p>
        </w:tc>
      </w:tr>
      <w:tr>
        <w:trPr>
          <w:trHeight w:val="175"/>
        </w:trPr>
        <w:tc>
          <w:tcPr>
            <w:tcW w:w="5080" w:type="dxa"/>
            <w:vAlign w:val="bottom"/>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Net unrealized appreciation (depreciation) on investments, net of deferred</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r>
      <w:tr>
        <w:trPr>
          <w:trHeight w:val="244"/>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taxes</w:t>
            </w:r>
            <w:r>
              <w:rPr>
                <w:rFonts w:ascii="Times New Roman" w:cs="Times New Roman" w:eastAsia="Times New Roman" w:hAnsi="Times New Roman"/>
                <w:sz w:val="21"/>
                <w:szCs w:val="21"/>
                <w:color w:val="auto"/>
                <w:vertAlign w:val="superscript"/>
              </w:rPr>
              <w:t>(1)</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(0.23)</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(1.49)</w:t>
            </w:r>
          </w:p>
        </w:tc>
      </w:tr>
      <w:tr>
        <w:trPr>
          <w:trHeight w:val="216"/>
        </w:trPr>
        <w:tc>
          <w:tcPr>
            <w:tcW w:w="50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Loss on extinguishment of debt</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(0.04)</w:t>
            </w:r>
          </w:p>
        </w:tc>
      </w:tr>
      <w:tr>
        <w:trPr>
          <w:trHeight w:val="209"/>
        </w:trPr>
        <w:tc>
          <w:tcPr>
            <w:tcW w:w="5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 net loss from operations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(0.86)</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(0.40)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(1.66)</w:t>
            </w:r>
          </w:p>
        </w:tc>
      </w:tr>
      <w:tr>
        <w:trPr>
          <w:trHeight w:val="21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declared</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(0.34)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(0.51)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(1.02)</w:t>
            </w:r>
          </w:p>
        </w:tc>
      </w:tr>
      <w:tr>
        <w:trPr>
          <w:trHeight w:val="250"/>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asset value per share at end of period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7.38</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10.17</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7.38</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10.17</w:t>
            </w:r>
          </w:p>
        </w:tc>
      </w:tr>
      <w:tr>
        <w:trPr>
          <w:trHeight w:val="198"/>
        </w:trPr>
        <w:tc>
          <w:tcPr>
            <w:tcW w:w="5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 share market value, end of period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3.63</w:t>
            </w:r>
          </w:p>
        </w:tc>
        <w:tc>
          <w:tcPr>
            <w:tcW w:w="4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7.69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3.63</w:t>
            </w:r>
          </w:p>
        </w:tc>
        <w:tc>
          <w:tcPr>
            <w:tcW w:w="3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7.69</w:t>
            </w:r>
          </w:p>
        </w:tc>
      </w:tr>
      <w:tr>
        <w:trPr>
          <w:trHeight w:val="216"/>
        </w:trPr>
        <w:tc>
          <w:tcPr>
            <w:tcW w:w="50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Total return based on market value</w:t>
            </w:r>
            <w:r>
              <w:rPr>
                <w:rFonts w:ascii="Times New Roman" w:cs="Times New Roman" w:eastAsia="Times New Roman" w:hAnsi="Times New Roman"/>
                <w:sz w:val="21"/>
                <w:szCs w:val="21"/>
                <w:color w:val="auto"/>
                <w:vertAlign w:val="superscript"/>
              </w:rPr>
              <w:t>(2)(3)</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6"/>
        </w:trPr>
        <w:tc>
          <w:tcPr>
            <w:tcW w:w="5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6"/>
                <w:szCs w:val="16"/>
                <w:color w:val="auto"/>
              </w:rPr>
              <w:t>Total return based on net asset value</w:t>
            </w:r>
            <w:r>
              <w:rPr>
                <w:rFonts w:ascii="Times New Roman" w:cs="Times New Roman" w:eastAsia="Times New Roman" w:hAnsi="Times New Roman"/>
                <w:sz w:val="21"/>
                <w:szCs w:val="21"/>
                <w:color w:val="auto"/>
                <w:vertAlign w:val="superscript"/>
              </w:rPr>
              <w:t>(3)(4)</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Shares outstanding at end of period</w:t>
            </w:r>
          </w:p>
        </w:tc>
        <w:tc>
          <w:tcPr>
            <w:tcW w:w="16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13,398,078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13,398,078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13,398,078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13,398,078</w:t>
            </w:r>
          </w:p>
        </w:tc>
      </w:tr>
      <w:tr>
        <w:trPr>
          <w:trHeight w:val="21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13,398,078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13,398,078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13,398,078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13,398,078</w:t>
            </w: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Ratio/Supplemental Data (dollar amounts in thousands)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5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6"/>
                <w:szCs w:val="16"/>
                <w:color w:val="auto"/>
              </w:rPr>
              <w:t>Average net asset value</w:t>
            </w:r>
            <w:r>
              <w:rPr>
                <w:rFonts w:ascii="Times New Roman" w:cs="Times New Roman" w:eastAsia="Times New Roman" w:hAnsi="Times New Roman"/>
                <w:sz w:val="21"/>
                <w:szCs w:val="21"/>
                <w:color w:val="auto"/>
                <w:vertAlign w:val="superscript"/>
              </w:rPr>
              <w:t>(5)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105,721</w:t>
            </w:r>
          </w:p>
        </w:tc>
        <w:tc>
          <w:tcPr>
            <w:tcW w:w="4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141,255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110,987</w:t>
            </w:r>
          </w:p>
        </w:tc>
        <w:tc>
          <w:tcPr>
            <w:tcW w:w="3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153,780</w:t>
            </w:r>
          </w:p>
        </w:tc>
      </w:tr>
      <w:tr>
        <w:trPr>
          <w:trHeight w:val="21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Net asset value at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98,829</w:t>
            </w:r>
          </w:p>
        </w:tc>
        <w:tc>
          <w:tcPr>
            <w:tcW w:w="4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136,314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98,829</w:t>
            </w:r>
          </w:p>
        </w:tc>
        <w:tc>
          <w:tcPr>
            <w:tcW w:w="3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136,314</w:t>
            </w:r>
          </w:p>
        </w:tc>
      </w:tr>
      <w:tr>
        <w:trPr>
          <w:trHeight w:val="21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investment income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719</w:t>
            </w:r>
          </w:p>
        </w:tc>
        <w:tc>
          <w:tcPr>
            <w:tcW w:w="4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2,940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4,191</w:t>
            </w:r>
          </w:p>
        </w:tc>
        <w:tc>
          <w:tcPr>
            <w:tcW w:w="3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9,688</w:t>
            </w:r>
          </w:p>
        </w:tc>
      </w:tr>
      <w:tr>
        <w:trPr>
          <w:trHeight w:val="216"/>
        </w:trPr>
        <w:tc>
          <w:tcPr>
            <w:tcW w:w="50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Ratio of total expenses, net to average net assets</w:t>
            </w:r>
            <w:r>
              <w:rPr>
                <w:rFonts w:ascii="Times New Roman" w:cs="Times New Roman" w:eastAsia="Times New Roman" w:hAnsi="Times New Roman"/>
                <w:sz w:val="21"/>
                <w:szCs w:val="21"/>
                <w:color w:val="auto"/>
                <w:vertAlign w:val="superscript"/>
              </w:rPr>
              <w:t>(6)(9)</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188"/>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Ratio of total expenses, net and loss on extinguishment of debt to average</w:t>
            </w: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r>
      <w:tr>
        <w:trPr>
          <w:trHeight w:val="230"/>
        </w:trPr>
        <w:tc>
          <w:tcPr>
            <w:tcW w:w="5080" w:type="dxa"/>
            <w:vAlign w:val="bottom"/>
            <w:shd w:val="clear" w:color="auto" w:fill="CFF0FC"/>
          </w:tcPr>
          <w:p>
            <w:pPr>
              <w:spacing w:after="0" w:line="230" w:lineRule="exact"/>
              <w:rPr>
                <w:sz w:val="20"/>
                <w:szCs w:val="20"/>
                <w:color w:val="auto"/>
              </w:rPr>
            </w:pPr>
            <w:r>
              <w:rPr>
                <w:rFonts w:ascii="Times New Roman" w:cs="Times New Roman" w:eastAsia="Times New Roman" w:hAnsi="Times New Roman"/>
                <w:sz w:val="26"/>
                <w:szCs w:val="26"/>
                <w:color w:val="auto"/>
                <w:vertAlign w:val="subscript"/>
              </w:rPr>
              <w:t>net assets</w:t>
            </w:r>
            <w:r>
              <w:rPr>
                <w:rFonts w:ascii="Times New Roman" w:cs="Times New Roman" w:eastAsia="Times New Roman" w:hAnsi="Times New Roman"/>
                <w:sz w:val="10"/>
                <w:szCs w:val="10"/>
                <w:color w:val="auto"/>
              </w:rPr>
              <w:t>(6)(8)(10)</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16"/>
        </w:trPr>
        <w:tc>
          <w:tcPr>
            <w:tcW w:w="50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Ratio of net investment income to average net assets</w:t>
            </w:r>
            <w:r>
              <w:rPr>
                <w:rFonts w:ascii="Times New Roman" w:cs="Times New Roman" w:eastAsia="Times New Roman" w:hAnsi="Times New Roman"/>
                <w:sz w:val="21"/>
                <w:szCs w:val="21"/>
                <w:color w:val="auto"/>
                <w:vertAlign w:val="superscript"/>
              </w:rPr>
              <w:t>(6)(11)</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6"/>
        </w:trPr>
        <w:tc>
          <w:tcPr>
            <w:tcW w:w="5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6"/>
                <w:szCs w:val="16"/>
                <w:color w:val="auto"/>
              </w:rPr>
              <w:t>Ratio of loss on extinguishment of debt to average net assets</w:t>
            </w:r>
            <w:r>
              <w:rPr>
                <w:rFonts w:ascii="Times New Roman" w:cs="Times New Roman" w:eastAsia="Times New Roman" w:hAnsi="Times New Roman"/>
                <w:sz w:val="21"/>
                <w:szCs w:val="21"/>
                <w:color w:val="auto"/>
                <w:vertAlign w:val="superscript"/>
              </w:rPr>
              <w:t>(3)</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86"/>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Portfolio turnover</w:t>
            </w:r>
            <w:r>
              <w:rPr>
                <w:rFonts w:ascii="Times New Roman" w:cs="Times New Roman" w:eastAsia="Times New Roman" w:hAnsi="Times New Roman"/>
                <w:sz w:val="21"/>
                <w:szCs w:val="21"/>
                <w:color w:val="auto"/>
                <w:vertAlign w:val="superscript"/>
              </w:rPr>
              <w:t>(7)</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4234815</wp:posOffset>
            </wp:positionH>
            <wp:positionV relativeFrom="paragraph">
              <wp:posOffset>-2246630</wp:posOffset>
            </wp:positionV>
            <wp:extent cx="2065655" cy="1631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065655" cy="163195"/>
                    </a:xfrm>
                    <a:prstGeom prst="rect">
                      <a:avLst/>
                    </a:prstGeom>
                    <a:noFill/>
                  </pic:spPr>
                </pic:pic>
              </a:graphicData>
            </a:graphic>
          </wp:anchor>
        </w:drawing>
      </w:r>
    </w:p>
    <w:p>
      <w:pPr>
        <w:spacing w:after="0" w:line="13" w:lineRule="exact"/>
        <w:rPr>
          <w:sz w:val="20"/>
          <w:szCs w:val="20"/>
          <w:color w:val="auto"/>
        </w:rPr>
      </w:pPr>
    </w:p>
    <w:p>
      <w:pPr>
        <w:ind w:left="367" w:hanging="367"/>
        <w:spacing w:after="0"/>
        <w:tabs>
          <w:tab w:leader="none" w:pos="36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on the average share method.</w:t>
      </w:r>
    </w:p>
    <w:p>
      <w:pPr>
        <w:spacing w:after="0" w:line="27" w:lineRule="exact"/>
        <w:rPr>
          <w:rFonts w:ascii="Times New Roman" w:cs="Times New Roman" w:eastAsia="Times New Roman" w:hAnsi="Times New Roman"/>
          <w:sz w:val="18"/>
          <w:szCs w:val="18"/>
          <w:color w:val="auto"/>
        </w:rPr>
      </w:pPr>
    </w:p>
    <w:p>
      <w:pPr>
        <w:ind w:left="367" w:right="240" w:hanging="367"/>
        <w:spacing w:after="0" w:line="250" w:lineRule="auto"/>
        <w:tabs>
          <w:tab w:leader="none" w:pos="36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ending market value less beginning market value, adjusted for distributions reinvested at prices based on the Company’s DRIP for the respective distributions.</w:t>
      </w:r>
    </w:p>
    <w:p>
      <w:pPr>
        <w:ind w:left="367" w:hanging="367"/>
        <w:spacing w:after="0"/>
        <w:tabs>
          <w:tab w:leader="none" w:pos="36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annualized.</w:t>
      </w:r>
    </w:p>
    <w:p>
      <w:pPr>
        <w:spacing w:after="0" w:line="9" w:lineRule="exact"/>
        <w:rPr>
          <w:rFonts w:ascii="Times New Roman" w:cs="Times New Roman" w:eastAsia="Times New Roman" w:hAnsi="Times New Roman"/>
          <w:sz w:val="18"/>
          <w:szCs w:val="18"/>
          <w:color w:val="auto"/>
        </w:rPr>
      </w:pPr>
    </w:p>
    <w:p>
      <w:pPr>
        <w:ind w:left="367" w:hanging="367"/>
        <w:spacing w:after="0" w:line="250" w:lineRule="auto"/>
        <w:tabs>
          <w:tab w:leader="none" w:pos="36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ending net asset value less beginning net asset value, adjusted for distributions reinvested at prices based on the Company’s DRIP for the respective distributions.</w:t>
      </w:r>
    </w:p>
    <w:p>
      <w:pPr>
        <w:ind w:left="367" w:hanging="367"/>
        <w:spacing w:after="0"/>
        <w:tabs>
          <w:tab w:leader="none" w:pos="36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average of the net asset value at the beginning and end of the indicated period and, if applicable, the preceding calendar quarters.</w:t>
      </w:r>
    </w:p>
    <w:p>
      <w:pPr>
        <w:spacing w:after="0" w:line="9"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w:t>
      </w:r>
    </w:p>
    <w:p>
      <w:pPr>
        <w:spacing w:after="0" w:line="9" w:lineRule="exact"/>
        <w:rPr>
          <w:rFonts w:ascii="Times New Roman" w:cs="Times New Roman" w:eastAsia="Times New Roman" w:hAnsi="Times New Roman"/>
          <w:sz w:val="18"/>
          <w:szCs w:val="18"/>
          <w:color w:val="auto"/>
        </w:rPr>
      </w:pPr>
    </w:p>
    <w:p>
      <w:pPr>
        <w:ind w:left="367" w:right="60" w:hanging="367"/>
        <w:spacing w:after="0" w:line="250" w:lineRule="auto"/>
        <w:tabs>
          <w:tab w:leader="none" w:pos="36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turnover rate is calculated using the lesser of period-to-date sales, portfolio investment distributions and principal payments or period-to-date purchases over the average of total investments at fair value.</w:t>
      </w:r>
    </w:p>
    <w:p>
      <w:pPr>
        <w:ind w:left="367" w:hanging="367"/>
        <w:spacing w:after="0"/>
        <w:tabs>
          <w:tab w:leader="none" w:pos="36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total expenses (annualized) plus the loss on extinguishment of debt, divided by average net assets.</w:t>
      </w:r>
    </w:p>
    <w:p>
      <w:pPr>
        <w:spacing w:after="0" w:line="9" w:lineRule="exact"/>
        <w:rPr>
          <w:rFonts w:ascii="Times New Roman" w:cs="Times New Roman" w:eastAsia="Times New Roman" w:hAnsi="Times New Roman"/>
          <w:sz w:val="18"/>
          <w:szCs w:val="18"/>
          <w:color w:val="auto"/>
        </w:rPr>
      </w:pPr>
    </w:p>
    <w:p>
      <w:pPr>
        <w:ind w:left="367" w:right="540" w:hanging="367"/>
        <w:spacing w:after="0" w:line="250" w:lineRule="auto"/>
        <w:tabs>
          <w:tab w:leader="none" w:pos="36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 of total expenses before the base management fee waiver to average net assets was 20.4% and 21.7% for the three and nine months ended September 30, 2026.</w:t>
      </w:r>
    </w:p>
    <w:p>
      <w:pPr>
        <w:ind w:left="367" w:right="60" w:hanging="367"/>
        <w:spacing w:after="0" w:line="250" w:lineRule="auto"/>
        <w:tabs>
          <w:tab w:leader="none" w:pos="36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 of total expenses before the base management fee waiver plus the loss on extinguishment of debt to average net assets was 20.7% and 22.1% for the three and nine months ended September 30, 2026.</w:t>
      </w:r>
    </w:p>
    <w:p>
      <w:pPr>
        <w:ind w:left="367" w:right="120" w:hanging="367"/>
        <w:spacing w:after="0" w:line="260" w:lineRule="auto"/>
        <w:tabs>
          <w:tab w:leader="none" w:pos="36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 of net investment income before the base management fee waiver to average net assets was 2.1% and 4.3% for the three and nine months ended September 30, 2026.</w:t>
      </w:r>
    </w:p>
    <w:p>
      <w:pPr>
        <w:spacing w:after="0" w:line="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Note 9. Capital Transactions</w:t>
      </w:r>
    </w:p>
    <w:p>
      <w:pPr>
        <w:spacing w:after="0" w:line="117" w:lineRule="exact"/>
        <w:rPr>
          <w:sz w:val="20"/>
          <w:szCs w:val="20"/>
          <w:color w:val="auto"/>
        </w:rPr>
      </w:pPr>
    </w:p>
    <w:p>
      <w:pPr>
        <w:ind w:left="7"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Distributions: </w:t>
      </w:r>
      <w:r>
        <w:rPr>
          <w:rFonts w:ascii="Times New Roman" w:cs="Times New Roman" w:eastAsia="Times New Roman" w:hAnsi="Times New Roman"/>
          <w:sz w:val="18"/>
          <w:szCs w:val="18"/>
          <w:color w:val="auto"/>
        </w:rPr>
        <w:t>The Company intends to make quarterly distributions to stockholders, that represent over time, substantially all of its net investment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although the Company may distribute at least annually net realized capital gains, net of taxes if any, out of assets legally available for such distribution, the Company may also retain such capital gains for investment through a deemed distribution. If the Company makes a deemed distribution, stockholders will be treated for U.S. federal income tax purposes as if they had received an actual distribution of the capital gains, net of taxes.</w:t>
      </w:r>
    </w:p>
    <w:p>
      <w:pPr>
        <w:sectPr>
          <w:pgSz w:w="11920" w:h="16838" w:orient="portrait"/>
          <w:cols w:equalWidth="0" w:num="1">
            <w:col w:w="11267"/>
          </w:cols>
          <w:pgMar w:left="333" w:top="760" w:right="318" w:bottom="1440" w:gutter="0" w:footer="0" w:header="0"/>
        </w:sectPr>
      </w:pPr>
    </w:p>
    <w:p>
      <w:pPr>
        <w:spacing w:after="0" w:line="18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760" w:right="318" w:bottom="1440" w:gutter="0" w:footer="0" w:header="0"/>
          <w:type w:val="continuous"/>
        </w:sectPr>
      </w:pPr>
    </w:p>
    <w:bookmarkStart w:id="45" w:name="page46"/>
    <w:bookmarkEnd w:id="45"/>
    <w:p>
      <w:pPr>
        <w:ind w:left="7"/>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15" w:lineRule="exact"/>
        <w:rPr>
          <w:sz w:val="20"/>
          <w:szCs w:val="20"/>
          <w:color w:val="auto"/>
        </w:rPr>
      </w:pPr>
    </w:p>
    <w:p>
      <w:pPr>
        <w:ind w:left="7" w:right="380"/>
        <w:spacing w:after="0" w:line="282" w:lineRule="auto"/>
        <w:rPr>
          <w:sz w:val="20"/>
          <w:szCs w:val="20"/>
          <w:color w:val="auto"/>
        </w:rPr>
      </w:pPr>
      <w:r>
        <w:rPr>
          <w:rFonts w:ascii="Times New Roman" w:cs="Times New Roman" w:eastAsia="Times New Roman" w:hAnsi="Times New Roman"/>
          <w:sz w:val="18"/>
          <w:szCs w:val="18"/>
          <w:color w:val="auto"/>
        </w:rPr>
        <w:t>The Company may be limited in its ability to make distributions due to the BDC asset coverage requirements of the 1940 Act. In addition, distributions from OFSCC-FS to the Company are restricted by the terms and conditions of the Natixis Facility.</w:t>
      </w:r>
    </w:p>
    <w:p>
      <w:pPr>
        <w:spacing w:after="0" w:line="5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The following table summarizes distributions declared and paid for the nine months ended September 30, 2026 and 2025:</w:t>
      </w:r>
    </w:p>
    <w:p>
      <w:pPr>
        <w:spacing w:after="0" w:line="167" w:lineRule="exact"/>
        <w:rPr>
          <w:sz w:val="20"/>
          <w:szCs w:val="20"/>
          <w:color w:val="auto"/>
        </w:rPr>
      </w:pPr>
    </w:p>
    <w:tbl>
      <w:tblPr>
        <w:tblLayout w:type="fixed"/>
        <w:tblInd w:w="7"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Cash</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 Declared</w:t>
            </w:r>
          </w:p>
        </w:tc>
        <w:tc>
          <w:tcPr>
            <w:tcW w:w="140" w:type="dxa"/>
            <w:vAlign w:val="bottom"/>
          </w:tcPr>
          <w:p>
            <w:pPr>
              <w:spacing w:after="0"/>
              <w:rPr>
                <w:sz w:val="20"/>
                <w:szCs w:val="20"/>
                <w:color w:val="auto"/>
              </w:rPr>
            </w:pPr>
          </w:p>
        </w:tc>
        <w:tc>
          <w:tcPr>
            <w:tcW w:w="1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60" w:type="dxa"/>
            <w:vAlign w:val="bottom"/>
          </w:tcPr>
          <w:p>
            <w:pPr>
              <w:spacing w:after="0"/>
              <w:rPr>
                <w:sz w:val="20"/>
                <w:szCs w:val="20"/>
                <w:color w:val="auto"/>
              </w:rPr>
            </w:pPr>
          </w:p>
        </w:tc>
        <w:tc>
          <w:tcPr>
            <w:tcW w:w="1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2026</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20, 2026</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r>
      <w:tr>
        <w:trPr>
          <w:trHeight w:val="22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28, 2026</w:t>
            </w: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19, 2026</w:t>
            </w: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6, 2026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r>
      <w:tr>
        <w:trPr>
          <w:trHeight w:val="23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July 28, 2026</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18, 2026</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5, 2026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r>
      <w:tr>
        <w:trPr>
          <w:trHeight w:val="263"/>
        </w:trPr>
        <w:tc>
          <w:tcPr>
            <w:tcW w:w="43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FF0FC"/>
            </w:tcBorders>
            <w:shd w:val="clear" w:color="auto" w:fill="CFF0FC"/>
          </w:tcPr>
          <w:p>
            <w:pPr>
              <w:spacing w:after="0"/>
              <w:rPr>
                <w:sz w:val="22"/>
                <w:szCs w:val="22"/>
                <w:color w:val="auto"/>
              </w:rPr>
            </w:pPr>
          </w:p>
        </w:tc>
        <w:tc>
          <w:tcPr>
            <w:tcW w:w="17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7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80" w:type="dxa"/>
            <w:vAlign w:val="bottom"/>
            <w:tcBorders>
              <w:top w:val="single" w:sz="8" w:color="auto"/>
              <w:bottom w:val="single" w:sz="8" w:color="auto"/>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r>
      <w:tr>
        <w:trPr>
          <w:trHeight w:val="210"/>
        </w:trPr>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2025</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21, 2025</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r>
      <w:tr>
        <w:trPr>
          <w:trHeight w:val="23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29, 2025</w:t>
            </w: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20, 2025</w:t>
            </w: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30, 2025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0.34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July 29, 2025</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19, 2025</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r>
      <w:tr>
        <w:trPr>
          <w:trHeight w:val="263"/>
        </w:trPr>
        <w:tc>
          <w:tcPr>
            <w:tcW w:w="43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FF0FC"/>
            </w:tcBorders>
            <w:shd w:val="clear" w:color="auto" w:fill="CFF0FC"/>
          </w:tcPr>
          <w:p>
            <w:pPr>
              <w:spacing w:after="0"/>
              <w:rPr>
                <w:sz w:val="22"/>
                <w:szCs w:val="22"/>
                <w:color w:val="auto"/>
              </w:rPr>
            </w:pPr>
          </w:p>
        </w:tc>
        <w:tc>
          <w:tcPr>
            <w:tcW w:w="17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7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80" w:type="dxa"/>
            <w:vAlign w:val="bottom"/>
            <w:tcBorders>
              <w:top w:val="single" w:sz="8" w:color="auto"/>
              <w:bottom w:val="single" w:sz="8" w:color="auto"/>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6094730</wp:posOffset>
            </wp:positionH>
            <wp:positionV relativeFrom="paragraph">
              <wp:posOffset>-925195</wp:posOffset>
            </wp:positionV>
            <wp:extent cx="1062990" cy="1714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062990" cy="171450"/>
                    </a:xfrm>
                    <a:prstGeom prst="rect">
                      <a:avLst/>
                    </a:prstGeom>
                    <a:noFill/>
                  </pic:spPr>
                </pic:pic>
              </a:graphicData>
            </a:graphic>
          </wp:anchor>
        </w:drawing>
        <w:drawing>
          <wp:anchor simplePos="0" relativeHeight="251657728" behindDoc="1" locked="0" layoutInCell="0" allowOverlap="1">
            <wp:simplePos x="0" y="0"/>
            <wp:positionH relativeFrom="column">
              <wp:posOffset>6094730</wp:posOffset>
            </wp:positionH>
            <wp:positionV relativeFrom="paragraph">
              <wp:posOffset>-25400</wp:posOffset>
            </wp:positionV>
            <wp:extent cx="939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6094730</wp:posOffset>
            </wp:positionH>
            <wp:positionV relativeFrom="paragraph">
              <wp:posOffset>-7620</wp:posOffset>
            </wp:positionV>
            <wp:extent cx="939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7037705</wp:posOffset>
            </wp:positionH>
            <wp:positionV relativeFrom="paragraph">
              <wp:posOffset>-25400</wp:posOffset>
            </wp:positionV>
            <wp:extent cx="12001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7037705</wp:posOffset>
            </wp:positionH>
            <wp:positionV relativeFrom="paragraph">
              <wp:posOffset>-7620</wp:posOffset>
            </wp:positionV>
            <wp:extent cx="12001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3" w:lineRule="exact"/>
        <w:rPr>
          <w:sz w:val="20"/>
          <w:szCs w:val="20"/>
          <w:color w:val="auto"/>
        </w:rPr>
      </w:pPr>
    </w:p>
    <w:p>
      <w:pPr>
        <w:ind w:left="367" w:right="20" w:hanging="367"/>
        <w:spacing w:after="0" w:line="266" w:lineRule="auto"/>
        <w:tabs>
          <w:tab w:leader="none" w:pos="36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2026 and 2025, the Company directed the DRIP plan administrator to purchase shares on the open market in order to satisfy the obligation to deliver shares of common stock. Accordingly, the Company purchased shares to satisfy the DRIP obligation as follows:</w:t>
      </w:r>
    </w:p>
    <w:p>
      <w:pPr>
        <w:spacing w:after="0" w:line="118" w:lineRule="exact"/>
        <w:rPr>
          <w:sz w:val="20"/>
          <w:szCs w:val="20"/>
          <w:color w:val="auto"/>
        </w:rPr>
      </w:pPr>
    </w:p>
    <w:tbl>
      <w:tblPr>
        <w:tblLayout w:type="fixed"/>
        <w:tblInd w:w="7"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Total Amount</w:t>
            </w:r>
          </w:p>
        </w:tc>
      </w:tr>
      <w:tr>
        <w:trPr>
          <w:trHeight w:val="238"/>
        </w:trPr>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 Declared</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60" w:type="dxa"/>
            <w:vAlign w:val="bottom"/>
          </w:tcPr>
          <w:p>
            <w:pPr>
              <w:spacing w:after="0"/>
              <w:rPr>
                <w:sz w:val="20"/>
                <w:szCs w:val="20"/>
                <w:color w:val="auto"/>
              </w:rPr>
            </w:pPr>
          </w:p>
        </w:tc>
        <w:tc>
          <w:tcPr>
            <w:tcW w:w="14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Paid</w:t>
            </w:r>
          </w:p>
        </w:tc>
      </w:tr>
      <w:tr>
        <w:trPr>
          <w:trHeight w:val="22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2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2026 through March 31, 2026</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5,271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2026 through June 30, 2026</w:t>
            </w:r>
          </w:p>
        </w:tc>
        <w:tc>
          <w:tcPr>
            <w:tcW w:w="1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July 1, 2026 through September 30, 2026</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4,385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63"/>
        </w:trPr>
        <w:tc>
          <w:tcPr>
            <w:tcW w:w="64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 Weighted-Average</w:t>
            </w:r>
          </w:p>
        </w:tc>
        <w:tc>
          <w:tcPr>
            <w:tcW w:w="12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17,118</w:t>
            </w:r>
          </w:p>
        </w:tc>
        <w:tc>
          <w:tcPr>
            <w:tcW w:w="1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r>
      <w:tr>
        <w:trPr>
          <w:trHeight w:val="440"/>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2025 through March 31, 2025</w:t>
            </w:r>
          </w:p>
        </w:tc>
        <w:tc>
          <w:tcPr>
            <w:tcW w:w="1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8,570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9.35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April 1, 2025 through June 30, 2025</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9,509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6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2025 through September 30, 2025</w:t>
            </w:r>
          </w:p>
        </w:tc>
        <w:tc>
          <w:tcPr>
            <w:tcW w:w="1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11,573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7.72</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 Weighted-Average</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29,652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r>
      <w:tr>
        <w:trPr>
          <w:trHeight w:val="20"/>
        </w:trPr>
        <w:tc>
          <w:tcPr>
            <w:tcW w:w="6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5126355</wp:posOffset>
            </wp:positionH>
            <wp:positionV relativeFrom="paragraph">
              <wp:posOffset>-934085</wp:posOffset>
            </wp:positionV>
            <wp:extent cx="1114425" cy="3175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114425" cy="317500"/>
                    </a:xfrm>
                    <a:prstGeom prst="rect">
                      <a:avLst/>
                    </a:prstGeom>
                    <a:noFill/>
                  </pic:spPr>
                </pic:pic>
              </a:graphicData>
            </a:graphic>
          </wp:anchor>
        </w:drawing>
        <w:drawing>
          <wp:anchor simplePos="0" relativeHeight="251657728" behindDoc="1" locked="0" layoutInCell="0" allowOverlap="1">
            <wp:simplePos x="0" y="0"/>
            <wp:positionH relativeFrom="column">
              <wp:posOffset>5126355</wp:posOffset>
            </wp:positionH>
            <wp:positionV relativeFrom="paragraph">
              <wp:posOffset>-179705</wp:posOffset>
            </wp:positionV>
            <wp:extent cx="102870" cy="1803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-179705</wp:posOffset>
            </wp:positionV>
            <wp:extent cx="94615" cy="1803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94615" cy="180340"/>
                    </a:xfrm>
                    <a:prstGeom prst="rect">
                      <a:avLst/>
                    </a:prstGeom>
                    <a:noFill/>
                  </pic:spPr>
                </pic:pic>
              </a:graphicData>
            </a:graphic>
          </wp:anchor>
        </w:drawing>
      </w:r>
    </w:p>
    <w:p>
      <w:pPr>
        <w:spacing w:after="0" w:line="83" w:lineRule="exact"/>
        <w:rPr>
          <w:sz w:val="20"/>
          <w:szCs w:val="20"/>
          <w:color w:val="auto"/>
        </w:rPr>
      </w:pPr>
    </w:p>
    <w:p>
      <w:pPr>
        <w:ind w:left="7" w:right="40"/>
        <w:spacing w:after="0" w:line="258" w:lineRule="auto"/>
        <w:rPr>
          <w:sz w:val="20"/>
          <w:szCs w:val="20"/>
          <w:color w:val="auto"/>
        </w:rPr>
      </w:pPr>
      <w:r>
        <w:rPr>
          <w:rFonts w:ascii="Times New Roman" w:cs="Times New Roman" w:eastAsia="Times New Roman" w:hAnsi="Times New Roman"/>
          <w:sz w:val="18"/>
          <w:szCs w:val="18"/>
          <w:color w:val="auto"/>
        </w:rPr>
        <w:t>Distributions in excess of the Company’s current and accumulated ICTI would be treated first as a return of capital to the extent of the stockholder’s adjusted tax basis, and any remaining distributions would be treated as a capital gain. The Company currently estimates that a portion of its distributions for the year ending December 31, 2026 will be characterized as a tax return of capital. The determination of the tax attributes of the Company’s distributions is made annually as of the end of its fiscal year based upon its estimated ICTI for the full year and distributions paid for the full year. Each year, a statement on Form 1099-DIV identifying the tax character of distributions is mailed to the Company’s stockholders.</w:t>
      </w:r>
    </w:p>
    <w:p>
      <w:pPr>
        <w:spacing w:after="0" w:line="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ind w:left="7" w:right="60"/>
        <w:spacing w:after="0" w:line="266" w:lineRule="auto"/>
        <w:rPr>
          <w:sz w:val="20"/>
          <w:szCs w:val="20"/>
          <w:color w:val="auto"/>
        </w:rPr>
      </w:pPr>
      <w:r>
        <w:rPr>
          <w:rFonts w:ascii="Times New Roman" w:cs="Times New Roman" w:eastAsia="Times New Roman" w:hAnsi="Times New Roman"/>
          <w:sz w:val="18"/>
          <w:szCs w:val="18"/>
          <w:color w:val="auto"/>
        </w:rPr>
        <w:t>The Company maintains a Stock Repurchase Program under which the Company may acquire up to $10,000 of its outstanding common stock. On April 28, 2026, the Board extended the Stock Repurchase Program for an additional two-year period ending May 22, 2028, or until the approved dollar amount has been used to repurchase shares. The Stock Repurchase Program may be extended, modified or discontinued at any time for any reason.</w:t>
      </w:r>
    </w:p>
    <w:p>
      <w:pPr>
        <w:spacing w:after="0" w:line="6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During the nine months ended September 30, 2026 and 2025, no shares of common stock were repurchased under the Stock Repurchase Program.</w:t>
      </w:r>
    </w:p>
    <w:p>
      <w:pPr>
        <w:spacing w:after="0" w:line="22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760" w:right="318" w:bottom="1440" w:gutter="0" w:footer="0" w:header="0"/>
        </w:sectPr>
      </w:pPr>
    </w:p>
    <w:bookmarkStart w:id="46" w:name="page47"/>
    <w:bookmarkEnd w:id="46"/>
    <w:p>
      <w:pPr>
        <w:ind w:left="7"/>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1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Note 10. Consolidated Schedule of Investments In and Advances To Affiliates</w:t>
      </w:r>
    </w:p>
    <w:p>
      <w:pPr>
        <w:spacing w:after="0" w:line="178" w:lineRule="exact"/>
        <w:rPr>
          <w:sz w:val="20"/>
          <w:szCs w:val="20"/>
          <w:color w:val="auto"/>
        </w:rPr>
      </w:pPr>
    </w:p>
    <w:p>
      <w:pPr>
        <w:ind w:left="4247"/>
        <w:spacing w:after="0"/>
        <w:rPr>
          <w:sz w:val="20"/>
          <w:szCs w:val="20"/>
          <w:color w:val="auto"/>
        </w:rPr>
      </w:pPr>
      <w:r>
        <w:rPr>
          <w:rFonts w:ascii="Times New Roman" w:cs="Times New Roman" w:eastAsia="Times New Roman" w:hAnsi="Times New Roman"/>
          <w:sz w:val="11"/>
          <w:szCs w:val="11"/>
          <w:b w:val="1"/>
          <w:bCs w:val="1"/>
          <w:color w:val="auto"/>
        </w:rPr>
        <w:t>Nine Months Ended September 30, 2026</w:t>
      </w:r>
    </w:p>
    <w:p>
      <w:pPr>
        <w:spacing w:after="0" w:line="11" w:lineRule="exact"/>
        <w:rPr>
          <w:sz w:val="20"/>
          <w:szCs w:val="20"/>
          <w:color w:val="auto"/>
        </w:rPr>
      </w:pPr>
    </w:p>
    <w:tbl>
      <w:tblPr>
        <w:tblLayout w:type="fixed"/>
        <w:tblInd w:w="7" w:type="dxa"/>
        <w:tblCellMar>
          <w:top w:w="0" w:type="dxa"/>
          <w:left w:w="0" w:type="dxa"/>
          <w:bottom w:w="0" w:type="dxa"/>
          <w:right w:w="0" w:type="dxa"/>
        </w:tblCellMar>
      </w:tblPr>
      <w:tr>
        <w:trPr>
          <w:trHeight w:val="113"/>
        </w:trPr>
        <w:tc>
          <w:tcPr>
            <w:tcW w:w="1640" w:type="dxa"/>
            <w:vAlign w:val="bottom"/>
            <w:tcBorders>
              <w:top w:val="single" w:sz="8" w:color="auto"/>
            </w:tcBorders>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center"/>
              <w:ind w:right="86"/>
              <w:spacing w:after="0" w:line="113" w:lineRule="exact"/>
              <w:rPr>
                <w:sz w:val="20"/>
                <w:szCs w:val="20"/>
                <w:color w:val="auto"/>
              </w:rPr>
            </w:pPr>
            <w:r>
              <w:rPr>
                <w:rFonts w:ascii="Times New Roman" w:cs="Times New Roman" w:eastAsia="Times New Roman" w:hAnsi="Times New Roman"/>
                <w:sz w:val="11"/>
                <w:szCs w:val="11"/>
                <w:b w:val="1"/>
                <w:bCs w:val="1"/>
                <w:color w:val="auto"/>
              </w:rPr>
              <w:t>Net</w:t>
            </w:r>
          </w:p>
        </w:tc>
        <w:tc>
          <w:tcPr>
            <w:tcW w:w="1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center"/>
              <w:ind w:right="106"/>
              <w:spacing w:after="0" w:line="113" w:lineRule="exact"/>
              <w:rPr>
                <w:sz w:val="20"/>
                <w:szCs w:val="20"/>
                <w:color w:val="auto"/>
              </w:rPr>
            </w:pPr>
            <w:r>
              <w:rPr>
                <w:rFonts w:ascii="Times New Roman" w:cs="Times New Roman" w:eastAsia="Times New Roman" w:hAnsi="Times New Roman"/>
                <w:sz w:val="11"/>
                <w:szCs w:val="11"/>
                <w:b w:val="1"/>
                <w:bCs w:val="1"/>
                <w:color w:val="auto"/>
                <w:w w:val="98"/>
              </w:rPr>
              <w:t>Net Change in</w:t>
            </w: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r>
      <w:tr>
        <w:trPr>
          <w:trHeight w:val="122"/>
        </w:trPr>
        <w:tc>
          <w:tcPr>
            <w:tcW w:w="16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gridSpan w:val="2"/>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4"/>
              </w:rPr>
              <w:t>Realized</w:t>
            </w:r>
          </w:p>
        </w:tc>
        <w:tc>
          <w:tcPr>
            <w:tcW w:w="160" w:type="dxa"/>
            <w:vAlign w:val="bottom"/>
          </w:tcPr>
          <w:p>
            <w:pPr>
              <w:spacing w:after="0"/>
              <w:rPr>
                <w:sz w:val="10"/>
                <w:szCs w:val="10"/>
                <w:color w:val="auto"/>
              </w:rPr>
            </w:pPr>
          </w:p>
        </w:tc>
        <w:tc>
          <w:tcPr>
            <w:tcW w:w="900" w:type="dxa"/>
            <w:vAlign w:val="bottom"/>
          </w:tcPr>
          <w:p>
            <w:pPr>
              <w:jc w:val="center"/>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146"/>
              <w:spacing w:after="0" w:line="122" w:lineRule="exact"/>
              <w:rPr>
                <w:sz w:val="20"/>
                <w:szCs w:val="20"/>
                <w:color w:val="auto"/>
              </w:rPr>
            </w:pPr>
            <w:r>
              <w:rPr>
                <w:rFonts w:ascii="Times New Roman" w:cs="Times New Roman" w:eastAsia="Times New Roman" w:hAnsi="Times New Roman"/>
                <w:sz w:val="11"/>
                <w:szCs w:val="11"/>
                <w:b w:val="1"/>
                <w:bCs w:val="1"/>
                <w:color w:val="auto"/>
                <w:w w:val="98"/>
              </w:rPr>
              <w:t>September 30,</w:t>
            </w:r>
          </w:p>
        </w:tc>
      </w:tr>
      <w:tr>
        <w:trPr>
          <w:trHeight w:val="121"/>
        </w:trPr>
        <w:tc>
          <w:tcPr>
            <w:tcW w:w="16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4"/>
              </w:rPr>
              <w:t>Gain</w:t>
            </w:r>
          </w:p>
        </w:tc>
        <w:tc>
          <w:tcPr>
            <w:tcW w:w="160" w:type="dxa"/>
            <w:vAlign w:val="bottom"/>
          </w:tcPr>
          <w:p>
            <w:pPr>
              <w:spacing w:after="0"/>
              <w:rPr>
                <w:sz w:val="10"/>
                <w:szCs w:val="10"/>
                <w:color w:val="auto"/>
              </w:rPr>
            </w:pPr>
          </w:p>
        </w:tc>
        <w:tc>
          <w:tcPr>
            <w:tcW w:w="900" w:type="dxa"/>
            <w:vAlign w:val="bottom"/>
          </w:tcPr>
          <w:p>
            <w:pPr>
              <w:jc w:val="center"/>
              <w:ind w:right="126"/>
              <w:spacing w:after="0" w:line="122" w:lineRule="exact"/>
              <w:rPr>
                <w:sz w:val="20"/>
                <w:szCs w:val="20"/>
                <w:color w:val="auto"/>
              </w:rPr>
            </w:pPr>
            <w:r>
              <w:rPr>
                <w:rFonts w:ascii="Times New Roman" w:cs="Times New Roman" w:eastAsia="Times New Roman" w:hAnsi="Times New Roman"/>
                <w:sz w:val="11"/>
                <w:szCs w:val="11"/>
                <w:b w:val="1"/>
                <w:bCs w:val="1"/>
                <w:color w:val="auto"/>
                <w:w w:val="98"/>
              </w:rPr>
              <w:t>Appreciation/</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226"/>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Pr>
          <w:p>
            <w:pPr>
              <w:spacing w:after="0"/>
              <w:rPr>
                <w:sz w:val="10"/>
                <w:szCs w:val="10"/>
                <w:color w:val="auto"/>
              </w:rPr>
            </w:pPr>
          </w:p>
        </w:tc>
        <w:tc>
          <w:tcPr>
            <w:tcW w:w="680" w:type="dxa"/>
            <w:vAlign w:val="bottom"/>
          </w:tcPr>
          <w:p>
            <w:pPr>
              <w:jc w:val="center"/>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2025, Fair</w:t>
            </w:r>
          </w:p>
        </w:tc>
        <w:tc>
          <w:tcPr>
            <w:tcW w:w="140" w:type="dxa"/>
            <w:vAlign w:val="bottom"/>
          </w:tcPr>
          <w:p>
            <w:pPr>
              <w:spacing w:after="0"/>
              <w:rPr>
                <w:sz w:val="10"/>
                <w:szCs w:val="10"/>
                <w:color w:val="auto"/>
              </w:rPr>
            </w:pPr>
          </w:p>
        </w:tc>
        <w:tc>
          <w:tcPr>
            <w:tcW w:w="840" w:type="dxa"/>
            <w:vAlign w:val="bottom"/>
          </w:tcPr>
          <w:p>
            <w:pPr>
              <w:jc w:val="right"/>
              <w:ind w:right="306"/>
              <w:spacing w:after="0" w:line="122" w:lineRule="exact"/>
              <w:rPr>
                <w:sz w:val="20"/>
                <w:szCs w:val="20"/>
                <w:color w:val="auto"/>
              </w:rPr>
            </w:pPr>
            <w:r>
              <w:rPr>
                <w:rFonts w:ascii="Times New Roman" w:cs="Times New Roman" w:eastAsia="Times New Roman" w:hAnsi="Times New Roman"/>
                <w:sz w:val="11"/>
                <w:szCs w:val="11"/>
                <w:b w:val="1"/>
                <w:bCs w:val="1"/>
                <w:color w:val="auto"/>
              </w:rPr>
              <w:t>Gross</w:t>
            </w:r>
          </w:p>
        </w:tc>
        <w:tc>
          <w:tcPr>
            <w:tcW w:w="140" w:type="dxa"/>
            <w:vAlign w:val="bottom"/>
          </w:tcPr>
          <w:p>
            <w:pPr>
              <w:spacing w:after="0"/>
              <w:rPr>
                <w:sz w:val="10"/>
                <w:szCs w:val="10"/>
                <w:color w:val="auto"/>
              </w:rPr>
            </w:pPr>
          </w:p>
        </w:tc>
        <w:tc>
          <w:tcPr>
            <w:tcW w:w="920" w:type="dxa"/>
            <w:vAlign w:val="bottom"/>
          </w:tcPr>
          <w:p>
            <w:pPr>
              <w:jc w:val="right"/>
              <w:ind w:right="346"/>
              <w:spacing w:after="0" w:line="122" w:lineRule="exact"/>
              <w:rPr>
                <w:sz w:val="20"/>
                <w:szCs w:val="20"/>
                <w:color w:val="auto"/>
              </w:rPr>
            </w:pPr>
            <w:r>
              <w:rPr>
                <w:rFonts w:ascii="Times New Roman" w:cs="Times New Roman" w:eastAsia="Times New Roman" w:hAnsi="Times New Roman"/>
                <w:sz w:val="11"/>
                <w:szCs w:val="11"/>
                <w:b w:val="1"/>
                <w:bCs w:val="1"/>
                <w:color w:val="auto"/>
              </w:rPr>
              <w:t>Gross</w:t>
            </w:r>
          </w:p>
        </w:tc>
        <w:tc>
          <w:tcPr>
            <w:tcW w:w="1020" w:type="dxa"/>
            <w:vAlign w:val="bottom"/>
            <w:gridSpan w:val="2"/>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rPr>
              <w:t>2026, Fair Value</w:t>
            </w:r>
          </w:p>
        </w:tc>
      </w:tr>
      <w:tr>
        <w:trPr>
          <w:trHeight w:val="137"/>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Name of Portfolio Company</w:t>
            </w:r>
          </w:p>
        </w:tc>
        <w:tc>
          <w:tcPr>
            <w:tcW w:w="13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b w:val="1"/>
                <w:bCs w:val="1"/>
                <w:color w:val="auto"/>
              </w:rPr>
              <w:t>Investment Type (1)</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rPr>
              <w:t>(Loss)</w:t>
            </w: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rPr>
              <w:t>(Depreciation)</w:t>
            </w: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Dividends</w:t>
            </w: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86"/>
              </w:rPr>
              <w:t>Fees</w:t>
            </w: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99"/>
              </w:rPr>
              <w:t>Income (2)</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7"/>
              </w:rPr>
              <w:t>Value (5)</w:t>
            </w: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Additions (3)</w:t>
            </w: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Reductions (4)</w:t>
            </w: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rPr>
              <w:t>(5)</w:t>
            </w:r>
          </w:p>
        </w:tc>
      </w:tr>
      <w:tr>
        <w:trPr>
          <w:trHeight w:val="128"/>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Affiliate Investments</w:t>
            </w:r>
          </w:p>
        </w:tc>
        <w:tc>
          <w:tcPr>
            <w:tcW w:w="13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r>
      <w:tr>
        <w:trPr>
          <w:trHeight w:val="135"/>
        </w:trPr>
        <w:tc>
          <w:tcPr>
            <w:tcW w:w="1640" w:type="dxa"/>
            <w:vAlign w:val="bottom"/>
          </w:tcPr>
          <w:p>
            <w:pPr>
              <w:spacing w:after="0"/>
              <w:rPr>
                <w:sz w:val="20"/>
                <w:szCs w:val="20"/>
                <w:color w:val="auto"/>
              </w:rPr>
            </w:pPr>
            <w:r>
              <w:rPr>
                <w:rFonts w:ascii="Times New Roman" w:cs="Times New Roman" w:eastAsia="Times New Roman" w:hAnsi="Times New Roman"/>
                <w:sz w:val="11"/>
                <w:szCs w:val="11"/>
                <w:color w:val="auto"/>
              </w:rPr>
              <w:t>Contract Datascan Holdings, Inc.</w:t>
            </w:r>
          </w:p>
        </w:tc>
        <w:tc>
          <w:tcPr>
            <w:tcW w:w="13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Preferred Equity (7)</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3,294</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982</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982</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9,201</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4,276</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13,477</w:t>
            </w:r>
          </w:p>
        </w:tc>
      </w:tr>
      <w:tr>
        <w:trPr>
          <w:trHeight w:val="135"/>
        </w:trPr>
        <w:tc>
          <w:tcPr>
            <w:tcW w:w="1640" w:type="dxa"/>
            <w:vAlign w:val="bottom"/>
            <w:shd w:val="clear" w:color="auto" w:fill="CFF0FC"/>
          </w:tcPr>
          <w:p>
            <w:pPr>
              <w:spacing w:after="0"/>
              <w:rPr>
                <w:sz w:val="11"/>
                <w:szCs w:val="11"/>
                <w:color w:val="auto"/>
              </w:rPr>
            </w:pPr>
          </w:p>
        </w:tc>
        <w:tc>
          <w:tcPr>
            <w:tcW w:w="1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Preferred Equity (7)</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293</w:t>
            </w: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293</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2,884</w:t>
            </w: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297</w:t>
            </w: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3,181</w:t>
            </w:r>
          </w:p>
        </w:tc>
      </w:tr>
      <w:tr>
        <w:trPr>
          <w:trHeight w:val="135"/>
        </w:trPr>
        <w:tc>
          <w:tcPr>
            <w:tcW w:w="1640" w:type="dxa"/>
            <w:vAlign w:val="bottom"/>
          </w:tcPr>
          <w:p>
            <w:pPr>
              <w:spacing w:after="0"/>
              <w:rPr>
                <w:sz w:val="11"/>
                <w:szCs w:val="11"/>
                <w:color w:val="auto"/>
              </w:rPr>
            </w:pPr>
          </w:p>
        </w:tc>
        <w:tc>
          <w:tcPr>
            <w:tcW w:w="13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Common Equity (6)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9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1640" w:type="dxa"/>
            <w:vAlign w:val="bottom"/>
            <w:shd w:val="clear" w:color="auto" w:fill="CFF0FC"/>
          </w:tcPr>
          <w:p>
            <w:pPr>
              <w:spacing w:after="0"/>
              <w:rPr>
                <w:sz w:val="11"/>
                <w:szCs w:val="11"/>
                <w:color w:val="auto"/>
              </w:rPr>
            </w:pPr>
          </w:p>
        </w:tc>
        <w:tc>
          <w:tcPr>
            <w:tcW w:w="1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Warrants (6)</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202</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202</w:t>
            </w: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202</w:t>
            </w:r>
          </w:p>
        </w:tc>
      </w:tr>
      <w:tr>
        <w:trPr>
          <w:trHeight w:val="135"/>
        </w:trPr>
        <w:tc>
          <w:tcPr>
            <w:tcW w:w="1640" w:type="dxa"/>
            <w:vAlign w:val="bottom"/>
          </w:tcPr>
          <w:p>
            <w:pPr>
              <w:spacing w:after="0"/>
              <w:rPr>
                <w:sz w:val="11"/>
                <w:szCs w:val="11"/>
                <w:color w:val="auto"/>
              </w:rPr>
            </w:pPr>
          </w:p>
        </w:tc>
        <w:tc>
          <w:tcPr>
            <w:tcW w:w="13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Warrants (6)</w:t>
            </w: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28"/>
        </w:trPr>
        <w:tc>
          <w:tcPr>
            <w:tcW w:w="164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3,500</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1,275</w:t>
            </w: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1,275</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12,085</w:t>
            </w: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4,775</w:t>
            </w: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16,860</w:t>
            </w:r>
          </w:p>
        </w:tc>
      </w:tr>
      <w:tr>
        <w:trPr>
          <w:trHeight w:val="135"/>
        </w:trPr>
        <w:tc>
          <w:tcPr>
            <w:tcW w:w="16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22"/>
        </w:trPr>
        <w:tc>
          <w:tcPr>
            <w:tcW w:w="16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DRS Imaging Services, LLC</w:t>
            </w:r>
          </w:p>
        </w:tc>
        <w:tc>
          <w:tcPr>
            <w:tcW w:w="1380" w:type="dxa"/>
            <w:vAlign w:val="bottom"/>
            <w:shd w:val="clear" w:color="auto" w:fill="CFF0FC"/>
          </w:tcPr>
          <w:p>
            <w:pPr>
              <w:ind w:left="180"/>
              <w:spacing w:after="0" w:line="122" w:lineRule="exact"/>
              <w:rPr>
                <w:sz w:val="20"/>
                <w:szCs w:val="20"/>
                <w:color w:val="auto"/>
              </w:rPr>
            </w:pPr>
            <w:r>
              <w:rPr>
                <w:rFonts w:ascii="Times New Roman" w:cs="Times New Roman" w:eastAsia="Times New Roman" w:hAnsi="Times New Roman"/>
                <w:sz w:val="11"/>
                <w:szCs w:val="11"/>
                <w:color w:val="auto"/>
              </w:rPr>
              <w:t>Common Equity (6)</w:t>
            </w: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90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1,043</w:t>
            </w: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2,671</w:t>
            </w:r>
          </w:p>
        </w:tc>
        <w:tc>
          <w:tcPr>
            <w:tcW w:w="14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1,043</w:t>
            </w:r>
          </w:p>
        </w:tc>
        <w:tc>
          <w:tcPr>
            <w:tcW w:w="14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3,714</w:t>
            </w:r>
          </w:p>
        </w:tc>
      </w:tr>
      <w:tr>
        <w:trPr>
          <w:trHeight w:val="135"/>
        </w:trPr>
        <w:tc>
          <w:tcPr>
            <w:tcW w:w="16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Pfanstiehl Holdings, Inc.</w:t>
            </w:r>
          </w:p>
        </w:tc>
        <w:tc>
          <w:tcPr>
            <w:tcW w:w="1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Common Equity</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8,289</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874</w:t>
            </w: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874</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79,421</w:t>
            </w: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8,289</w:t>
            </w: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87,710</w:t>
            </w:r>
          </w:p>
        </w:tc>
      </w:tr>
      <w:tr>
        <w:trPr>
          <w:trHeight w:val="135"/>
        </w:trPr>
        <w:tc>
          <w:tcPr>
            <w:tcW w:w="16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SSJA Bariatric Management LLC</w:t>
            </w:r>
          </w:p>
        </w:tc>
        <w:tc>
          <w:tcPr>
            <w:tcW w:w="1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First Lien Debt</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17</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18</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235</w:t>
            </w: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233</w:t>
            </w:r>
          </w:p>
        </w:tc>
      </w:tr>
      <w:tr>
        <w:trPr>
          <w:trHeight w:val="135"/>
        </w:trPr>
        <w:tc>
          <w:tcPr>
            <w:tcW w:w="1640" w:type="dxa"/>
            <w:vAlign w:val="bottom"/>
          </w:tcPr>
          <w:p>
            <w:pPr>
              <w:spacing w:after="0"/>
              <w:rPr>
                <w:sz w:val="11"/>
                <w:szCs w:val="11"/>
                <w:color w:val="auto"/>
              </w:rPr>
            </w:pPr>
          </w:p>
        </w:tc>
        <w:tc>
          <w:tcPr>
            <w:tcW w:w="13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First Lien Debt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(2,389)</w:t>
            </w:r>
          </w:p>
        </w:tc>
        <w:tc>
          <w:tcPr>
            <w:tcW w:w="12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179</w:t>
            </w:r>
          </w:p>
        </w:tc>
        <w:tc>
          <w:tcPr>
            <w:tcW w:w="1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179</w:t>
            </w:r>
          </w:p>
        </w:tc>
        <w:tc>
          <w:tcPr>
            <w:tcW w:w="160" w:type="dxa"/>
            <w:vAlign w:val="bottom"/>
          </w:tcPr>
          <w:p>
            <w:pPr>
              <w:spacing w:after="0"/>
              <w:rPr>
                <w:sz w:val="11"/>
                <w:szCs w:val="11"/>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3,804</w:t>
            </w:r>
          </w:p>
        </w:tc>
        <w:tc>
          <w:tcPr>
            <w:tcW w:w="14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239</w:t>
            </w:r>
          </w:p>
        </w:tc>
        <w:tc>
          <w:tcPr>
            <w:tcW w:w="1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(2,389)</w:t>
            </w:r>
          </w:p>
        </w:tc>
        <w:tc>
          <w:tcPr>
            <w:tcW w:w="120" w:type="dxa"/>
            <w:vAlign w:val="bottom"/>
          </w:tcPr>
          <w:p>
            <w:pPr>
              <w:spacing w:after="0"/>
              <w:rPr>
                <w:sz w:val="11"/>
                <w:szCs w:val="11"/>
                <w:color w:val="auto"/>
              </w:rPr>
            </w:pP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1,654</w:t>
            </w:r>
          </w:p>
        </w:tc>
      </w:tr>
      <w:tr>
        <w:trPr>
          <w:trHeight w:val="135"/>
        </w:trPr>
        <w:tc>
          <w:tcPr>
            <w:tcW w:w="1640" w:type="dxa"/>
            <w:vAlign w:val="bottom"/>
            <w:tcBorders>
              <w:bottom w:val="single" w:sz="8" w:color="CFF0FC"/>
            </w:tcBorders>
            <w:shd w:val="clear" w:color="auto" w:fill="CFF0FC"/>
          </w:tcPr>
          <w:p>
            <w:pPr>
              <w:spacing w:after="0"/>
              <w:rPr>
                <w:sz w:val="11"/>
                <w:szCs w:val="11"/>
                <w:color w:val="auto"/>
              </w:rPr>
            </w:pPr>
          </w:p>
        </w:tc>
        <w:tc>
          <w:tcPr>
            <w:tcW w:w="13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Common Equity (6)</w:t>
            </w:r>
          </w:p>
        </w:tc>
        <w:tc>
          <w:tcPr>
            <w:tcW w:w="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(1,729)</w:t>
            </w:r>
          </w:p>
        </w:tc>
        <w:tc>
          <w:tcPr>
            <w:tcW w:w="12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1,729</w:t>
            </w:r>
          </w:p>
        </w:tc>
        <w:tc>
          <w:tcPr>
            <w:tcW w:w="14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(1,729)</w:t>
            </w:r>
          </w:p>
        </w:tc>
        <w:tc>
          <w:tcPr>
            <w:tcW w:w="12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28"/>
        </w:trPr>
        <w:tc>
          <w:tcPr>
            <w:tcW w:w="16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(4,121)</w:t>
            </w:r>
          </w:p>
        </w:tc>
        <w:tc>
          <w:tcPr>
            <w:tcW w:w="12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196</w:t>
            </w:r>
          </w:p>
        </w:tc>
        <w:tc>
          <w:tcPr>
            <w:tcW w:w="1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197</w:t>
            </w:r>
          </w:p>
        </w:tc>
        <w:tc>
          <w:tcPr>
            <w:tcW w:w="160" w:type="dxa"/>
            <w:vAlign w:val="bottom"/>
          </w:tcPr>
          <w:p>
            <w:pPr>
              <w:spacing w:after="0"/>
              <w:rPr>
                <w:sz w:val="11"/>
                <w:szCs w:val="11"/>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5,768</w:t>
            </w:r>
          </w:p>
        </w:tc>
        <w:tc>
          <w:tcPr>
            <w:tcW w:w="14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240</w:t>
            </w:r>
          </w:p>
        </w:tc>
        <w:tc>
          <w:tcPr>
            <w:tcW w:w="1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(4,121)</w:t>
            </w:r>
          </w:p>
        </w:tc>
        <w:tc>
          <w:tcPr>
            <w:tcW w:w="120" w:type="dxa"/>
            <w:vAlign w:val="bottom"/>
          </w:tcPr>
          <w:p>
            <w:pPr>
              <w:spacing w:after="0"/>
              <w:rPr>
                <w:sz w:val="11"/>
                <w:szCs w:val="11"/>
                <w:color w:val="auto"/>
              </w:rPr>
            </w:pP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1,887</w:t>
            </w:r>
          </w:p>
        </w:tc>
      </w:tr>
      <w:tr>
        <w:trPr>
          <w:trHeight w:val="135"/>
        </w:trPr>
        <w:tc>
          <w:tcPr>
            <w:tcW w:w="1640" w:type="dxa"/>
            <w:vAlign w:val="bottom"/>
            <w:tcBorders>
              <w:bottom w:val="single" w:sz="8" w:color="CFF0FC"/>
            </w:tcBorders>
            <w:shd w:val="clear" w:color="auto" w:fill="CFF0FC"/>
          </w:tcPr>
          <w:p>
            <w:pPr>
              <w:spacing w:after="0"/>
              <w:rPr>
                <w:sz w:val="11"/>
                <w:szCs w:val="11"/>
                <w:color w:val="auto"/>
              </w:rPr>
            </w:pPr>
          </w:p>
        </w:tc>
        <w:tc>
          <w:tcPr>
            <w:tcW w:w="138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spacing w:after="0"/>
              <w:rPr>
                <w:sz w:val="11"/>
                <w:szCs w:val="11"/>
                <w:color w:val="auto"/>
              </w:rPr>
            </w:pPr>
          </w:p>
        </w:tc>
      </w:tr>
      <w:tr>
        <w:trPr>
          <w:trHeight w:val="128"/>
        </w:trPr>
        <w:tc>
          <w:tcPr>
            <w:tcW w:w="16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Affiliate Investments</w:t>
            </w:r>
          </w:p>
        </w:tc>
        <w:tc>
          <w:tcPr>
            <w:tcW w:w="1380" w:type="dxa"/>
            <w:vAlign w:val="bottom"/>
          </w:tcPr>
          <w:p>
            <w:pPr>
              <w:spacing w:after="0"/>
              <w:rPr>
                <w:sz w:val="11"/>
                <w:szCs w:val="11"/>
                <w:color w:val="auto"/>
              </w:rPr>
            </w:pP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8,711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196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2,149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2,346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99,945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14,347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(4,121)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110,171</w:t>
            </w:r>
          </w:p>
        </w:tc>
      </w:tr>
      <w:tr>
        <w:trPr>
          <w:trHeight w:val="20"/>
        </w:trPr>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367" w:right="200" w:hanging="367"/>
        <w:spacing w:after="0" w:line="257" w:lineRule="auto"/>
        <w:tabs>
          <w:tab w:leader="none" w:pos="36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balance, interest rate and maturity of debt investments, and ownership detail for equity investments are presented in the consolidated schedule of investments. The Company’s investments are generally classified as “restricted securities” as such term is defined under Regulation S-X Rule 6-03(f) or Securities Act Rule 144.</w:t>
      </w:r>
    </w:p>
    <w:p>
      <w:pPr>
        <w:spacing w:after="0" w:line="1"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amount of interest, fees or dividends included in income for the nine months ended September 30, 2026.</w:t>
      </w:r>
    </w:p>
    <w:p>
      <w:pPr>
        <w:spacing w:after="0" w:line="9" w:lineRule="exact"/>
        <w:rPr>
          <w:rFonts w:ascii="Times New Roman" w:cs="Times New Roman" w:eastAsia="Times New Roman" w:hAnsi="Times New Roman"/>
          <w:sz w:val="18"/>
          <w:szCs w:val="18"/>
          <w:color w:val="auto"/>
        </w:rPr>
      </w:pPr>
    </w:p>
    <w:p>
      <w:pPr>
        <w:ind w:left="367" w:right="80" w:hanging="367"/>
        <w:spacing w:after="0" w:line="250" w:lineRule="auto"/>
        <w:tabs>
          <w:tab w:leader="none" w:pos="36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cost basis of investments resulting from a new portfolio investment, PIK interest, fees and dividends, accretion of Net Loan Fees, and net increases in unrealized appreciation or decreases in net unrealized depreciation.</w:t>
      </w:r>
    </w:p>
    <w:p>
      <w:pPr>
        <w:ind w:left="367" w:right="160" w:hanging="367"/>
        <w:spacing w:after="0" w:line="250" w:lineRule="auto"/>
        <w:tabs>
          <w:tab w:leader="none" w:pos="36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repayments and sales, and net decreases in net unrealized appreciation or net increases in net unrealized depreciation.</w:t>
      </w:r>
    </w:p>
    <w:p>
      <w:pPr>
        <w:ind w:left="367" w:hanging="367"/>
        <w:spacing w:after="0"/>
        <w:tabs>
          <w:tab w:leader="none" w:pos="36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Fair value was determined using significant unobservable inputs. See </w:t>
      </w:r>
      <w:r>
        <w:rPr>
          <w:rFonts w:ascii="Times New Roman" w:cs="Times New Roman" w:eastAsia="Times New Roman" w:hAnsi="Times New Roman"/>
          <w:sz w:val="18"/>
          <w:szCs w:val="18"/>
          <w:b w:val="1"/>
          <w:bCs w:val="1"/>
          <w:color w:val="auto"/>
        </w:rPr>
        <w:t>Note 5</w:t>
      </w:r>
      <w:r>
        <w:rPr>
          <w:rFonts w:ascii="Times New Roman" w:cs="Times New Roman" w:eastAsia="Times New Roman" w:hAnsi="Times New Roman"/>
          <w:sz w:val="18"/>
          <w:szCs w:val="18"/>
          <w:color w:val="auto"/>
        </w:rPr>
        <w:t xml:space="preserve"> for further details.</w:t>
      </w:r>
    </w:p>
    <w:p>
      <w:pPr>
        <w:spacing w:after="0" w:line="9"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Non-income producing. The Company has not recognized income on the security during the prior twelve-month period preceding the period-end date.</w:t>
      </w:r>
    </w:p>
    <w:p>
      <w:pPr>
        <w:spacing w:after="0" w:line="9"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recognized as income include PIK dividends contractually earned but not declared.</w:t>
      </w:r>
    </w:p>
    <w:p>
      <w:pPr>
        <w:spacing w:after="0" w:line="9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i w:val="1"/>
          <w:iCs w:val="1"/>
          <w:color w:val="auto"/>
        </w:rPr>
        <w:t>Partial Monetization of Equity Interest</w:t>
      </w:r>
    </w:p>
    <w:p>
      <w:pPr>
        <w:spacing w:after="0" w:line="121" w:lineRule="exact"/>
        <w:rPr>
          <w:sz w:val="20"/>
          <w:szCs w:val="20"/>
          <w:color w:val="auto"/>
        </w:rPr>
      </w:pPr>
    </w:p>
    <w:p>
      <w:pPr>
        <w:ind w:left="7" w:right="100"/>
        <w:spacing w:after="0" w:line="261" w:lineRule="auto"/>
        <w:rPr>
          <w:sz w:val="20"/>
          <w:szCs w:val="20"/>
          <w:color w:val="auto"/>
        </w:rPr>
      </w:pPr>
      <w:r>
        <w:rPr>
          <w:rFonts w:ascii="Times New Roman" w:cs="Times New Roman" w:eastAsia="Times New Roman" w:hAnsi="Times New Roman"/>
          <w:sz w:val="18"/>
          <w:szCs w:val="18"/>
          <w:color w:val="auto"/>
        </w:rPr>
        <w:t>On October 5, 2026, SBIC I LP admitted a third-party investor (the “New Investor”) as a limited partner, which acquired 56.62% of the limited partnership interests of SBIC I LP. SBIC I LP holds 400 Class A shares of Pfanstiehl Holdings, Inc., a global manufacturer of high-purity pharmaceutical ingredients. The New Investor acquired its limited partnership interests in exchange for $52.3 million paid to SBIC I LP, the entirety of which was distributed to the Company. Following the transaction, SBIC I LP is no longer a wholly owned subsidiary of the Company.</w:t>
      </w:r>
    </w:p>
    <w:p>
      <w:pPr>
        <w:spacing w:after="0" w:line="6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left="7"/>
        <w:spacing w:after="0" w:line="272" w:lineRule="auto"/>
        <w:rPr>
          <w:sz w:val="20"/>
          <w:szCs w:val="20"/>
          <w:color w:val="auto"/>
        </w:rPr>
      </w:pPr>
      <w:r>
        <w:rPr>
          <w:rFonts w:ascii="Times New Roman" w:cs="Times New Roman" w:eastAsia="Times New Roman" w:hAnsi="Times New Roman"/>
          <w:sz w:val="17"/>
          <w:szCs w:val="17"/>
          <w:color w:val="auto"/>
        </w:rPr>
        <w:t>On October 26, 2026, Pfanstiehl Holdings, Inc. filed a complaint in the Delaware Court of Chancery against SBIC I LP, an affiliate and former wholly owned subsidiary of the Company, and OFS SBIC I GP, LLC, its general partner and a wholly owned subsidiary of the Company. The complaint challenges the transaction previously reported in the Company’s Current Report on Form 8-K filed on October 6, 2026 and asserts claims for (i) declaratory judgment that the transaction is void under the stockholder agreement governing SBIC I LP’s shares of Pfanstiehl Holdings, Inc., (ii) breach of that stockholder agreement, and (iii) breach of the implied covenant of good faith and fair dealing. The complaint seeks declaratory and injunctive relief (including an order unwinding the transaction) and unspecified damages, and fees and costs. The Company intends to defend the matter vigorously. Based on the information currently available, the Company cannot predict the outcome of this proceeding and is unable to reasonably estimate the possible loss or range of loss, if any. Costs associated with the litigation will be accrued and expensed as incurred. No amounts have been accrued as of September 30, 2026.</w:t>
      </w:r>
    </w:p>
    <w:p>
      <w:pPr>
        <w:spacing w:after="0" w:line="6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i w:val="1"/>
          <w:iCs w:val="1"/>
          <w:color w:val="auto"/>
        </w:rPr>
        <w:t>Distribution Declaration</w:t>
      </w:r>
    </w:p>
    <w:p>
      <w:pPr>
        <w:spacing w:after="0" w:line="121" w:lineRule="exact"/>
        <w:rPr>
          <w:sz w:val="20"/>
          <w:szCs w:val="20"/>
          <w:color w:val="auto"/>
        </w:rPr>
      </w:pPr>
    </w:p>
    <w:p>
      <w:pPr>
        <w:ind w:left="7" w:right="400"/>
        <w:spacing w:after="0" w:line="282" w:lineRule="auto"/>
        <w:rPr>
          <w:sz w:val="20"/>
          <w:szCs w:val="20"/>
          <w:color w:val="auto"/>
        </w:rPr>
      </w:pPr>
      <w:r>
        <w:rPr>
          <w:rFonts w:ascii="Times New Roman" w:cs="Times New Roman" w:eastAsia="Times New Roman" w:hAnsi="Times New Roman"/>
          <w:sz w:val="18"/>
          <w:szCs w:val="18"/>
          <w:color w:val="auto"/>
        </w:rPr>
        <w:t>On October 27, 2026, the Board declared a distribution of $0.17 per share for the fourth quarter of 2026, payable on January 7, 2027 to stockholders of record as of December 18, 2026.</w:t>
      </w:r>
    </w:p>
    <w:p>
      <w:pPr>
        <w:spacing w:after="0" w:line="16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760" w:right="318"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firstLine="751"/>
        <w:spacing w:after="0" w:line="266" w:lineRule="auto"/>
        <w:rPr>
          <w:sz w:val="20"/>
          <w:szCs w:val="20"/>
          <w:color w:val="auto"/>
        </w:rPr>
      </w:pPr>
      <w:r>
        <w:rPr>
          <w:rFonts w:ascii="Times New Roman" w:cs="Times New Roman" w:eastAsia="Times New Roman" w:hAnsi="Times New Roman"/>
          <w:sz w:val="18"/>
          <w:szCs w:val="18"/>
          <w:color w:val="auto"/>
        </w:rPr>
        <w:t>The following analysis of our financial condition and results of operations should be read in conjunction with our consolidated financial statements and the related notes thereto contained elsewhere in this Quarterly Report on Form 10-Q. For additional overview information on the Company, see “Item 1. Business” in our Annual Report on Form 10-K for the year ended December 31,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Key performance metrics per common share are presented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540" w:type="dxa"/>
            <w:vAlign w:val="bottom"/>
            <w:tcBorders>
              <w:bottom w:val="single" w:sz="8" w:color="auto"/>
            </w:tcBorders>
          </w:tcPr>
          <w:p>
            <w:pPr>
              <w:spacing w:after="0"/>
              <w:rPr>
                <w:sz w:val="20"/>
                <w:szCs w:val="20"/>
                <w:color w:val="auto"/>
              </w:rPr>
            </w:pPr>
          </w:p>
        </w:tc>
      </w:tr>
      <w:tr>
        <w:trPr>
          <w:trHeight w:val="22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 value</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8.41</w:t>
            </w:r>
          </w:p>
        </w:tc>
      </w:tr>
      <w:tr>
        <w:trPr>
          <w:trHeight w:val="378"/>
        </w:trPr>
        <w:tc>
          <w:tcPr>
            <w:tcW w:w="5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540" w:type="dxa"/>
            <w:vAlign w:val="bottom"/>
            <w:tcBorders>
              <w:bottom w:val="single" w:sz="8" w:color="auto"/>
            </w:tcBorders>
          </w:tcPr>
          <w:p>
            <w:pPr>
              <w:spacing w:after="0"/>
              <w:rPr>
                <w:sz w:val="24"/>
                <w:szCs w:val="24"/>
                <w:color w:val="auto"/>
              </w:rPr>
            </w:pPr>
          </w:p>
        </w:tc>
      </w:tr>
      <w:tr>
        <w:trPr>
          <w:trHeight w:val="201"/>
        </w:trPr>
        <w:tc>
          <w:tcPr>
            <w:tcW w:w="5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210"/>
              <w:spacing w:after="0" w:line="201"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4"/>
          </w:tcPr>
          <w:p>
            <w:pPr>
              <w:jc w:val="center"/>
              <w:ind w:right="176"/>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7"/>
                <w:szCs w:val="17"/>
                <w:color w:val="auto"/>
              </w:rPr>
            </w:pPr>
          </w:p>
        </w:tc>
        <w:tc>
          <w:tcPr>
            <w:tcW w:w="1460" w:type="dxa"/>
            <w:vAlign w:val="bottom"/>
            <w:gridSpan w:val="2"/>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5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20"/>
                <w:szCs w:val="20"/>
                <w:color w:val="auto"/>
              </w:rPr>
            </w:pPr>
          </w:p>
        </w:tc>
      </w:tr>
      <w:tr>
        <w:trPr>
          <w:trHeight w:val="22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gridSpan w:val="3"/>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0.31</w:t>
            </w:r>
          </w:p>
        </w:tc>
        <w:tc>
          <w:tcPr>
            <w:tcW w:w="220" w:type="dxa"/>
            <w:vAlign w:val="bottom"/>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0.72</w:t>
            </w: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net assets resulting from operations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Distributions declared</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0.51</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r>
    </w:tbl>
    <w:p>
      <w:pPr>
        <w:spacing w:after="0" w:line="103" w:lineRule="exact"/>
        <w:rPr>
          <w:sz w:val="20"/>
          <w:szCs w:val="20"/>
          <w:color w:val="auto"/>
        </w:rPr>
      </w:pPr>
    </w:p>
    <w:p>
      <w:pPr>
        <w:ind w:right="20" w:firstLine="751"/>
        <w:spacing w:after="0" w:line="266" w:lineRule="auto"/>
        <w:rPr>
          <w:sz w:val="20"/>
          <w:szCs w:val="20"/>
          <w:color w:val="auto"/>
        </w:rPr>
      </w:pPr>
      <w:r>
        <w:rPr>
          <w:rFonts w:ascii="Times New Roman" w:cs="Times New Roman" w:eastAsia="Times New Roman" w:hAnsi="Times New Roman"/>
          <w:sz w:val="18"/>
          <w:szCs w:val="18"/>
          <w:color w:val="auto"/>
        </w:rPr>
        <w:t>Our NAV per common share decreased from $8.41 at June 30, 2026 to $7.38 at September 30, 2026, primarily due to a net loss on investments of $0.89 per common share and our quarterly distribution of $0.17 per common share exceeding our quarterly net investment income of $0.05 per common share.</w:t>
      </w:r>
    </w:p>
    <w:p>
      <w:pPr>
        <w:spacing w:after="0" w:line="68" w:lineRule="exact"/>
        <w:rPr>
          <w:sz w:val="20"/>
          <w:szCs w:val="20"/>
          <w:color w:val="auto"/>
        </w:rPr>
      </w:pPr>
    </w:p>
    <w:p>
      <w:pPr>
        <w:ind w:right="20" w:firstLine="751"/>
        <w:spacing w:after="0" w:line="282" w:lineRule="auto"/>
        <w:rPr>
          <w:sz w:val="20"/>
          <w:szCs w:val="20"/>
          <w:color w:val="auto"/>
        </w:rPr>
      </w:pPr>
      <w:r>
        <w:rPr>
          <w:rFonts w:ascii="Times New Roman" w:cs="Times New Roman" w:eastAsia="Times New Roman" w:hAnsi="Times New Roman"/>
          <w:sz w:val="18"/>
          <w:szCs w:val="18"/>
          <w:color w:val="auto"/>
        </w:rPr>
        <w:t>For the quarter ended September 30, 2026, total investment income decreased from $6.8 million in the prior quarter to $5.9 million, primarily due to a decrease in interest income, partially offset by an increase in non-recurring fee income. See “—Results of Operations” for additional information.</w:t>
      </w:r>
    </w:p>
    <w:p>
      <w:pPr>
        <w:spacing w:after="0" w:line="54" w:lineRule="exact"/>
        <w:rPr>
          <w:sz w:val="20"/>
          <w:szCs w:val="20"/>
          <w:color w:val="auto"/>
        </w:rPr>
      </w:pPr>
    </w:p>
    <w:p>
      <w:pPr>
        <w:ind w:right="40" w:firstLine="751"/>
        <w:spacing w:after="0" w:line="258" w:lineRule="auto"/>
        <w:rPr>
          <w:sz w:val="20"/>
          <w:szCs w:val="20"/>
          <w:color w:val="auto"/>
        </w:rPr>
      </w:pPr>
      <w:r>
        <w:rPr>
          <w:rFonts w:ascii="Times New Roman" w:cs="Times New Roman" w:eastAsia="Times New Roman" w:hAnsi="Times New Roman"/>
          <w:sz w:val="18"/>
          <w:szCs w:val="18"/>
          <w:color w:val="auto"/>
        </w:rPr>
        <w:t>Our total outstanding debt decreased from $185.8 million at June 30, 2026 to $154.4 million at September 30, 2026. During the quarter ended September 30, 2026, our total outstanding debt decreased by $31.4 million due to the redemption of $20.0 million of our 7.50% Unsecured Notes Due July 2028 and net repayments of $11.4 million under our Natixis Facility. For the quarter ended September 30, 2026, our weighted-average debt interest costs of 7.65% increased compared to 7.41% for the quarter ended June 30, 2026. See “—Results of Operations” and “—Liquidity and Capital Resources” for additional information.</w:t>
      </w:r>
    </w:p>
    <w:p>
      <w:pPr>
        <w:spacing w:after="0" w:line="75" w:lineRule="exact"/>
        <w:rPr>
          <w:sz w:val="20"/>
          <w:szCs w:val="20"/>
          <w:color w:val="auto"/>
        </w:rPr>
      </w:pPr>
    </w:p>
    <w:p>
      <w:pPr>
        <w:ind w:right="60" w:firstLine="751"/>
        <w:spacing w:after="0" w:line="255" w:lineRule="auto"/>
        <w:rPr>
          <w:sz w:val="20"/>
          <w:szCs w:val="20"/>
          <w:color w:val="auto"/>
        </w:rPr>
      </w:pPr>
      <w:r>
        <w:rPr>
          <w:rFonts w:ascii="Times New Roman" w:cs="Times New Roman" w:eastAsia="Times New Roman" w:hAnsi="Times New Roman"/>
          <w:sz w:val="18"/>
          <w:szCs w:val="18"/>
          <w:color w:val="auto"/>
        </w:rPr>
        <w:t>For the quarter ended September 30, 2026, we recognized a net loss on investments of $11.9 million due to a net realized loss of $7.8 million and net unrealized depreciation, net of taxes, of $4.1 million. Our net realized loss of $7.8 million during the quarter ended September 30, 2026 was primarily attributable to the sale of a Structured Finance Security (Apex Credit CLO 2022-1 Ltd.), which resulted in a realized loss of $7.8 million, including $2.6 million recognized during the current quarter. For the quarter ended September 30, 2026, net unrealized depreciation of $4.1 million was primarily due to depreciation of $6.8 million on our common equity investment in Pfanstiehl Holdings, Inc. See “—Recent Developments—Partial Monetization of Equity Interest” for additional information. As of September 30, 2026, we had non-accrual loans with an aggregate fair value of $23.4 million, or 9.3% of our total investments at fair value. See “—Portfolio Composition and Investment Activity” for additional information.</w:t>
      </w:r>
    </w:p>
    <w:p>
      <w:pPr>
        <w:spacing w:after="0" w:line="81" w:lineRule="exact"/>
        <w:rPr>
          <w:sz w:val="20"/>
          <w:szCs w:val="20"/>
          <w:color w:val="auto"/>
        </w:rPr>
      </w:pPr>
    </w:p>
    <w:p>
      <w:pPr>
        <w:ind w:right="60" w:firstLine="751"/>
        <w:spacing w:after="0" w:line="256" w:lineRule="auto"/>
        <w:rPr>
          <w:sz w:val="20"/>
          <w:szCs w:val="20"/>
          <w:color w:val="auto"/>
        </w:rPr>
      </w:pPr>
      <w:r>
        <w:rPr>
          <w:rFonts w:ascii="Times New Roman" w:cs="Times New Roman" w:eastAsia="Times New Roman" w:hAnsi="Times New Roman"/>
          <w:sz w:val="18"/>
          <w:szCs w:val="18"/>
          <w:color w:val="auto"/>
        </w:rPr>
        <w:t>As of September 30, 2026, the aggregate amount outstanding of the senior securities issued by us was $154.4 million, for which our asset coverage ratio was 164%, exceeding the minimum asset coverage requirement of 150% under the 1940 Act. As of September 30, 2026, we remained in compliance with all applicable covenants under our Natixis Facility and our Banc of California Credit Facility (after giving effect to the minimum quarterly net investment income covenant waiver). As of September 30, 2026, we had unused commitments of $15.0 million under our Banc of California Credit Facility, and $54.6 million under our Natixis Facility, each of which is subject to a borrowing base and other covenants. As of September 30, 2026, we had $4.0 million in outstanding unfunded commitments to portfolio companies. See “—Liquidity and Capital Resources” for additional information.</w:t>
      </w:r>
    </w:p>
    <w:p>
      <w:pPr>
        <w:spacing w:after="0" w:line="79" w:lineRule="exact"/>
        <w:rPr>
          <w:sz w:val="20"/>
          <w:szCs w:val="20"/>
          <w:color w:val="auto"/>
        </w:rPr>
      </w:pPr>
    </w:p>
    <w:p>
      <w:pPr>
        <w:ind w:right="800" w:firstLine="751"/>
        <w:spacing w:after="0" w:line="282" w:lineRule="auto"/>
        <w:rPr>
          <w:sz w:val="20"/>
          <w:szCs w:val="20"/>
          <w:color w:val="auto"/>
        </w:rPr>
      </w:pPr>
      <w:r>
        <w:rPr>
          <w:rFonts w:ascii="Times New Roman" w:cs="Times New Roman" w:eastAsia="Times New Roman" w:hAnsi="Times New Roman"/>
          <w:sz w:val="18"/>
          <w:szCs w:val="18"/>
          <w:color w:val="auto"/>
        </w:rPr>
        <w:t>On October 27, 2026, the Board declared a distribution of $0.17 per share for the fourth quarter of 2026, payable on January 7, 2027 to stockholders of record as of December 18,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976" w:right="318" w:bottom="1440" w:gutter="0" w:footer="0" w:header="0"/>
        </w:sectPr>
      </w:pPr>
    </w:p>
    <w:bookmarkStart w:id="48" w:name="page49"/>
    <w:bookmarkEnd w:id="48"/>
    <w:p>
      <w:pPr>
        <w:ind w:left="7"/>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121" w:lineRule="exact"/>
        <w:rPr>
          <w:sz w:val="20"/>
          <w:szCs w:val="20"/>
          <w:color w:val="auto"/>
        </w:rPr>
      </w:pPr>
    </w:p>
    <w:p>
      <w:pPr>
        <w:ind w:left="7" w:right="160" w:firstLine="751"/>
        <w:spacing w:after="0" w:line="258" w:lineRule="auto"/>
        <w:rPr>
          <w:sz w:val="20"/>
          <w:szCs w:val="20"/>
          <w:color w:val="auto"/>
        </w:rPr>
      </w:pPr>
      <w:r>
        <w:rPr>
          <w:rFonts w:ascii="Times New Roman" w:cs="Times New Roman" w:eastAsia="Times New Roman" w:hAnsi="Times New Roman"/>
          <w:sz w:val="18"/>
          <w:szCs w:val="18"/>
          <w:color w:val="auto"/>
        </w:rPr>
        <w:t>Our critical accounting policies and estimates are those relating to revenue recognition and fair value estimates. Management has discussed the development and selection of each critical accounting policy and estimate with the Audit Committee of the Board. For descriptions of our revenue recognition and fair value policies, see “Item 8. Financial Statements—Notes to Consolidated Financial Statements—Note 2” and “Item 7. Management’s Discussion and Analysis of Financial Condition and Results of Operations—Critical Accounting Policies and Significant Estimates” in our Annual Report on Form 10-K for the year ended December 31, 2025.</w:t>
      </w:r>
    </w:p>
    <w:p>
      <w:pPr>
        <w:spacing w:after="0" w:line="75" w:lineRule="exact"/>
        <w:rPr>
          <w:sz w:val="20"/>
          <w:szCs w:val="20"/>
          <w:color w:val="auto"/>
        </w:rPr>
      </w:pPr>
    </w:p>
    <w:p>
      <w:pPr>
        <w:ind w:left="7" w:right="340" w:firstLine="751"/>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impact of our fair value measures if we selected the low or high end of the range of estimated values for all investments as of September 30, 2026 (dollar amounts in thousands):</w:t>
      </w:r>
    </w:p>
    <w:p>
      <w:pPr>
        <w:spacing w:after="0" w:line="66" w:lineRule="exact"/>
        <w:rPr>
          <w:sz w:val="20"/>
          <w:szCs w:val="20"/>
          <w:color w:val="auto"/>
        </w:rPr>
      </w:pPr>
    </w:p>
    <w:tbl>
      <w:tblPr>
        <w:tblLayout w:type="fixed"/>
        <w:tblInd w:w="7" w:type="dxa"/>
        <w:tblCellMar>
          <w:top w:w="0" w:type="dxa"/>
          <w:left w:w="0" w:type="dxa"/>
          <w:bottom w:w="0" w:type="dxa"/>
          <w:right w:w="0" w:type="dxa"/>
        </w:tblCellMar>
      </w:tblPr>
      <w:tr>
        <w:trPr>
          <w:trHeight w:val="276"/>
        </w:trPr>
        <w:tc>
          <w:tcPr>
            <w:tcW w:w="6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Range of Fair Value</w:t>
            </w:r>
            <w:r>
              <w:rPr>
                <w:rFonts w:ascii="Times New Roman" w:cs="Times New Roman" w:eastAsia="Times New Roman" w:hAnsi="Times New Roman"/>
                <w:sz w:val="24"/>
                <w:szCs w:val="24"/>
                <w:b w:val="1"/>
                <w:bCs w:val="1"/>
                <w:color w:val="auto"/>
                <w:vertAlign w:val="superscript"/>
              </w:rPr>
              <w:t>(1)</w:t>
            </w:r>
          </w:p>
        </w:tc>
      </w:tr>
      <w:tr>
        <w:trPr>
          <w:trHeight w:val="201"/>
        </w:trPr>
        <w:tc>
          <w:tcPr>
            <w:tcW w:w="6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center"/>
              <w:ind w:right="1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Fair Value at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6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Low-end</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High-end</w:t>
            </w:r>
          </w:p>
        </w:tc>
      </w:tr>
      <w:tr>
        <w:trPr>
          <w:trHeight w:val="22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investments:</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30"/>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 lien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108,291</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104,414</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112,498</w:t>
            </w:r>
          </w:p>
        </w:tc>
      </w:tr>
      <w:tr>
        <w:trPr>
          <w:trHeight w:val="229"/>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Second lien</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1,878</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4,855</w:t>
            </w:r>
          </w:p>
        </w:tc>
      </w:tr>
      <w:tr>
        <w:trPr>
          <w:trHeight w:val="229"/>
        </w:trPr>
        <w:tc>
          <w:tcPr>
            <w:tcW w:w="6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29"/>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Subordinated notes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25,454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23,500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27,405</w:t>
            </w:r>
          </w:p>
        </w:tc>
      </w:tr>
      <w:tr>
        <w:trPr>
          <w:trHeight w:val="230"/>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Mezzanine debt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1,676</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1,612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1,740</w:t>
            </w:r>
          </w:p>
        </w:tc>
      </w:tr>
      <w:tr>
        <w:trPr>
          <w:trHeight w:val="229"/>
        </w:trPr>
        <w:tc>
          <w:tcPr>
            <w:tcW w:w="6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30"/>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equity</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17,134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15,036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17,815</w:t>
            </w:r>
          </w:p>
        </w:tc>
      </w:tr>
      <w:tr>
        <w:trPr>
          <w:trHeight w:val="229"/>
        </w:trPr>
        <w:tc>
          <w:tcPr>
            <w:tcW w:w="6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equity, warrants and other</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96,738</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95,207</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98,997</w:t>
            </w:r>
          </w:p>
        </w:tc>
      </w:tr>
      <w:tr>
        <w:trPr>
          <w:trHeight w:val="223"/>
        </w:trPr>
        <w:tc>
          <w:tcPr>
            <w:tcW w:w="64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252,147</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241,647</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263,310</w:t>
            </w: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5126355</wp:posOffset>
            </wp:positionH>
            <wp:positionV relativeFrom="paragraph">
              <wp:posOffset>-179705</wp:posOffset>
            </wp:positionV>
            <wp:extent cx="102870" cy="1803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6146165</wp:posOffset>
            </wp:positionH>
            <wp:positionV relativeFrom="paragraph">
              <wp:posOffset>-179705</wp:posOffset>
            </wp:positionV>
            <wp:extent cx="94615" cy="1803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4615" cy="180340"/>
                    </a:xfrm>
                    <a:prstGeom prst="rect">
                      <a:avLst/>
                    </a:prstGeom>
                    <a:noFill/>
                  </pic:spPr>
                </pic:pic>
              </a:graphicData>
            </a:graphic>
          </wp:anchor>
        </w:drawing>
      </w:r>
    </w:p>
    <w:p>
      <w:pPr>
        <w:spacing w:after="0" w:line="83" w:lineRule="exact"/>
        <w:rPr>
          <w:sz w:val="20"/>
          <w:szCs w:val="20"/>
          <w:color w:val="auto"/>
        </w:rPr>
      </w:pPr>
    </w:p>
    <w:p>
      <w:pPr>
        <w:ind w:left="367" w:right="340" w:hanging="367"/>
        <w:spacing w:after="0" w:line="266" w:lineRule="auto"/>
        <w:tabs>
          <w:tab w:leader="none" w:pos="36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investments are classified as Level 3 under ASC Topic 820. This means that our portfolio valuations are based on unobservable inputs and assumptions about how market participants would price the asset in question. Inputs into the determination of fair value of our portfolio investments require significant management judgment and estimation.</w:t>
      </w:r>
    </w:p>
    <w:p>
      <w:pPr>
        <w:spacing w:after="0" w:line="6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747" w:right="20" w:hanging="371"/>
        <w:spacing w:after="0" w:line="261" w:lineRule="auto"/>
        <w:tabs>
          <w:tab w:leader="none" w:pos="7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Advisory Agreement with OFS Advisor to manage our operating and investment activities. Under the Investment Advisory Agreement, we have agreed to pay OFS Advisor an annual base management fee based on the average value of our total assets (other than cash and cash equivalents, but including assets purchased with borrowed amounts and including assets owned by any consolidated entity) as well as an incentive fee based on our investment performance. See “Item 1—Financial Statements—</w:t>
      </w:r>
      <w:r>
        <w:rPr>
          <w:rFonts w:ascii="Times New Roman" w:cs="Times New Roman" w:eastAsia="Times New Roman" w:hAnsi="Times New Roman"/>
          <w:sz w:val="18"/>
          <w:szCs w:val="18"/>
          <w:b w:val="1"/>
          <w:bCs w:val="1"/>
          <w:color w:val="auto"/>
        </w:rPr>
        <w:t>Note 3.</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747" w:right="20" w:hanging="371"/>
        <w:spacing w:after="0" w:line="282" w:lineRule="auto"/>
        <w:tabs>
          <w:tab w:leader="none" w:pos="7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Agreement with OFS Services, an affiliate of OFS Advisor, to provide us with the office facilities and administrative services necessary to conduct our operations. See “Item 1—Financial Statements—</w:t>
      </w:r>
      <w:r>
        <w:rPr>
          <w:rFonts w:ascii="Times New Roman" w:cs="Times New Roman" w:eastAsia="Times New Roman" w:hAnsi="Times New Roman"/>
          <w:sz w:val="18"/>
          <w:szCs w:val="18"/>
          <w:b w:val="1"/>
          <w:bCs w:val="1"/>
          <w:color w:val="auto"/>
        </w:rPr>
        <w:t>Note 3.</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747" w:right="160" w:hanging="371"/>
        <w:spacing w:after="0" w:line="261" w:lineRule="auto"/>
        <w:tabs>
          <w:tab w:leader="none" w:pos="7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agreement with OFSAM, the parent company of OFS Advisor, under which OFSAM has agreed to grant us a non-exclusive, royalty-free license to use the name “OFS.” Under this agreement, we have a right to use the “OFS” name for so long as OFS Advisor or one of its affiliates remains our investment adviser. Other than with respect to this limited license, we have no legal right to the “OFS” name. This license agreement will remain in effect for so long as the Investment Advisory Agreement with OFS Advisor is in effect.</w:t>
      </w:r>
    </w:p>
    <w:p>
      <w:pPr>
        <w:spacing w:after="0" w:line="72" w:lineRule="exact"/>
        <w:rPr>
          <w:sz w:val="20"/>
          <w:szCs w:val="20"/>
          <w:color w:val="auto"/>
        </w:rPr>
      </w:pPr>
    </w:p>
    <w:p>
      <w:pPr>
        <w:ind w:left="7" w:right="140" w:firstLine="751"/>
        <w:spacing w:after="0" w:line="256" w:lineRule="auto"/>
        <w:rPr>
          <w:sz w:val="20"/>
          <w:szCs w:val="20"/>
          <w:color w:val="auto"/>
        </w:rPr>
      </w:pPr>
      <w:r>
        <w:rPr>
          <w:rFonts w:ascii="Times New Roman" w:cs="Times New Roman" w:eastAsia="Times New Roman" w:hAnsi="Times New Roman"/>
          <w:sz w:val="18"/>
          <w:szCs w:val="18"/>
          <w:color w:val="auto"/>
        </w:rPr>
        <w:t>OFS Advisor’s services under the Investment Advisory Agreement are not exclusive to us and OFS Advisor is free to furnish similar services to other entities, including other funds advised or sub-advised by OFS Advisor, so long as its services to us are not impaired. OFS Advisor also serves as the investment adviser to other funds, including HPCI and OCCI. Additionally, OFS Advisor provides sub-advisory services to: (i) CMFT Securities Investments, LLC, a wholly owned subsidiary of CIM Real Estate Finance Trust, Inc., a corporation that qualifies as a real estate investment trust; and (ii) CIM Real Assets &amp; Credit Fund, an externally managed registered investment company that operates as an interval fund that invests primarily in a combination of real estate, credit and related investments.</w:t>
      </w:r>
    </w:p>
    <w:p>
      <w:pPr>
        <w:spacing w:after="0" w:line="79" w:lineRule="exact"/>
        <w:rPr>
          <w:sz w:val="20"/>
          <w:szCs w:val="20"/>
          <w:color w:val="auto"/>
        </w:rPr>
      </w:pPr>
    </w:p>
    <w:p>
      <w:pPr>
        <w:ind w:left="7" w:right="240" w:firstLine="751"/>
        <w:spacing w:after="0" w:line="266" w:lineRule="auto"/>
        <w:rPr>
          <w:sz w:val="20"/>
          <w:szCs w:val="20"/>
          <w:color w:val="auto"/>
        </w:rPr>
      </w:pPr>
      <w:r>
        <w:rPr>
          <w:rFonts w:ascii="Times New Roman" w:cs="Times New Roman" w:eastAsia="Times New Roman" w:hAnsi="Times New Roman"/>
          <w:sz w:val="18"/>
          <w:szCs w:val="18"/>
          <w:color w:val="auto"/>
        </w:rPr>
        <w:t>On April 17, 2026, June 23, 2026 and September 16, 2026, OFS Advisor agreed to waive a portion of its base management fee for the quarters ended March 31, 2026, June 30, 2026 and September 30, 2026, respectively, attributable to all of the OFSCC-FS Assets to 0.25% per quarter (1.00% annualized) of the average value of the OFSCC-FS Assets (other than cash and cash equivalents,</w:t>
      </w:r>
    </w:p>
    <w:p>
      <w:pPr>
        <w:spacing w:after="0" w:line="17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084" w:right="318" w:bottom="1440" w:gutter="0" w:footer="0" w:header="0"/>
        </w:sectPr>
      </w:pPr>
    </w:p>
    <w:bookmarkStart w:id="49" w:name="page50"/>
    <w:bookmarkEnd w:id="49"/>
    <w:p>
      <w:pPr>
        <w:spacing w:after="0" w:line="266" w:lineRule="auto"/>
        <w:rPr>
          <w:sz w:val="20"/>
          <w:szCs w:val="20"/>
          <w:color w:val="auto"/>
        </w:rPr>
      </w:pPr>
      <w:r>
        <w:rPr>
          <w:rFonts w:ascii="Times New Roman" w:cs="Times New Roman" w:eastAsia="Times New Roman" w:hAnsi="Times New Roman"/>
          <w:sz w:val="18"/>
          <w:szCs w:val="18"/>
          <w:color w:val="auto"/>
        </w:rPr>
        <w:t>but including assets purchased with borrowed amounts) at the end of the two most recently completed calendar quarters. These waivers differ from prior periods where OFS Advisor had contractually agreed to reduce its base management fee for the entire year at the beginning of the year. As of September 30, 2026, there is no active ongoing fee waiver or reduction agreement in place with OFS Advisor for the remainder of 2026.</w:t>
      </w:r>
    </w:p>
    <w:p>
      <w:pPr>
        <w:spacing w:after="0" w:line="68" w:lineRule="exact"/>
        <w:rPr>
          <w:sz w:val="20"/>
          <w:szCs w:val="20"/>
          <w:color w:val="auto"/>
        </w:rPr>
      </w:pPr>
    </w:p>
    <w:p>
      <w:pPr>
        <w:ind w:right="160" w:firstLine="751"/>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OFS Advisor agreed to reduce its base management fee attributable to all of the OFSCC-FS Assets to 0.25% per quarter (1.00% annualized) of the average value of the OFSCC-FS Assets (other than cash and cash equivalents, but including assets purchased with borrowed amounts) at the end of the two most recently completed calendar quarters.</w:t>
      </w:r>
    </w:p>
    <w:p>
      <w:pPr>
        <w:spacing w:after="0" w:line="68" w:lineRule="exact"/>
        <w:rPr>
          <w:sz w:val="20"/>
          <w:szCs w:val="20"/>
          <w:color w:val="auto"/>
        </w:rPr>
      </w:pPr>
    </w:p>
    <w:p>
      <w:pPr>
        <w:ind w:right="140" w:firstLine="751"/>
        <w:spacing w:after="0" w:line="266" w:lineRule="auto"/>
        <w:rPr>
          <w:sz w:val="20"/>
          <w:szCs w:val="20"/>
          <w:color w:val="auto"/>
        </w:rPr>
      </w:pPr>
      <w:r>
        <w:rPr>
          <w:rFonts w:ascii="Times New Roman" w:cs="Times New Roman" w:eastAsia="Times New Roman" w:hAnsi="Times New Roman"/>
          <w:sz w:val="18"/>
          <w:szCs w:val="18"/>
          <w:color w:val="auto"/>
        </w:rPr>
        <w:t>OFS Advisor is not entitled to recoup the amount of the base management fee waived or reduced with respect to the OFSCC-FS Assets. The fee waivers and reductions were provided at OFS Advisor’s discretion; there can be no assurance that similar fee waivers or reductions will be provided in future periods.</w:t>
      </w:r>
    </w:p>
    <w:p>
      <w:pPr>
        <w:spacing w:after="0" w:line="68" w:lineRule="exact"/>
        <w:rPr>
          <w:sz w:val="20"/>
          <w:szCs w:val="20"/>
          <w:color w:val="auto"/>
        </w:rPr>
      </w:pPr>
    </w:p>
    <w:p>
      <w:pPr>
        <w:ind w:right="20" w:firstLine="751"/>
        <w:spacing w:after="0" w:line="253" w:lineRule="auto"/>
        <w:rPr>
          <w:sz w:val="20"/>
          <w:szCs w:val="20"/>
          <w:color w:val="auto"/>
        </w:rPr>
      </w:pPr>
      <w:r>
        <w:rPr>
          <w:rFonts w:ascii="Times New Roman" w:cs="Times New Roman" w:eastAsia="Times New Roman" w:hAnsi="Times New Roman"/>
          <w:sz w:val="18"/>
          <w:szCs w:val="18"/>
          <w:color w:val="auto"/>
        </w:rPr>
        <w:t>The 1940 Act generally prohibits BDCs from making certain negotiated co-investments with certain affiliates absent an order from the SEC permitting the BDC to do so. On August 4, 2020, we received our existing Order, which superseded a previous order that we received on October 12, 2016, and provides us with greater flexibility to enter into co-investment transactions with certain Affiliated Funds in a manner consistent with our investment objective, positions, policies, strategies and restrictions as well as regulatory requirements and other pertinent factors, subject to compliance with certain conditions. We are generally permitted to co-invest with Affiliated Funds if, under the terms of the Order, a “required majority” (as defined in Section 57(o) of the 1940 Act) of our independent directors make certain conclusions in connection with a co-investment transaction, including that: (1) the terms of the transaction, including the consideration to be paid, are reasonable and fair to us and our stockholders and do not involve overreaching in respect of us or our stockholders on the part of any person concerned; (2) the transaction is consistent with the interests of our stockholders and is consistent with our investment objective and strategies; (3) the investment by our affiliates would not disadvantage us, and our participation would not be on a basis different from or less advantageous than that on which our affiliates are investing; and (4) the proposed investment by us would not benefit OFS Advisor, the other Affiliated Funds that are participating in the investment, or any affiliated person of any of them (other than parties to the transaction), except to the extent permitted by the exemptive relief and applicable law, including the limitations set forth in Section 57(k) of the 1940 Act.</w:t>
      </w:r>
    </w:p>
    <w:p>
      <w:pPr>
        <w:spacing w:after="0" w:line="82" w:lineRule="exact"/>
        <w:rPr>
          <w:sz w:val="20"/>
          <w:szCs w:val="20"/>
          <w:color w:val="auto"/>
        </w:rPr>
      </w:pPr>
    </w:p>
    <w:p>
      <w:pPr>
        <w:ind w:firstLine="751"/>
        <w:spacing w:after="0" w:line="282" w:lineRule="auto"/>
        <w:rPr>
          <w:sz w:val="20"/>
          <w:szCs w:val="20"/>
          <w:color w:val="auto"/>
        </w:rPr>
      </w:pPr>
      <w:r>
        <w:rPr>
          <w:rFonts w:ascii="Times New Roman" w:cs="Times New Roman" w:eastAsia="Times New Roman" w:hAnsi="Times New Roman"/>
          <w:sz w:val="18"/>
          <w:szCs w:val="18"/>
          <w:color w:val="auto"/>
        </w:rPr>
        <w:t>In addition, we have submitted a new application for exemptive relief that, if granted, will supersede our existing Order and permit us to co-invest pursuant to a different set of conditions than those in our existing Order. However, there is no guarantee that the SEC will grant such application.</w:t>
      </w:r>
    </w:p>
    <w:p>
      <w:pPr>
        <w:spacing w:after="0" w:line="54" w:lineRule="exact"/>
        <w:rPr>
          <w:sz w:val="20"/>
          <w:szCs w:val="20"/>
          <w:color w:val="auto"/>
        </w:rPr>
      </w:pPr>
    </w:p>
    <w:p>
      <w:pPr>
        <w:ind w:firstLine="751"/>
        <w:spacing w:after="0" w:line="254" w:lineRule="auto"/>
        <w:rPr>
          <w:sz w:val="20"/>
          <w:szCs w:val="20"/>
          <w:color w:val="auto"/>
        </w:rPr>
      </w:pPr>
      <w:r>
        <w:rPr>
          <w:rFonts w:ascii="Times New Roman" w:cs="Times New Roman" w:eastAsia="Times New Roman" w:hAnsi="Times New Roman"/>
          <w:sz w:val="18"/>
          <w:szCs w:val="18"/>
          <w:color w:val="auto"/>
        </w:rPr>
        <w:t>Conflicts may arise when we make an investment in conjunction with an investment being made by an Affiliated Account, or in a transaction where an Affiliated Account has already made an investment. Investment opportunities are, from time to time, appropriate for more than one account in the same, different or overlapping securities of a portfolio company’s capital structure. Conflicts arise in determining the terms of investments, particularly where these accounts may invest in different types of securities in a single portfolio company. Potential conflicts arise when addressing, among other things, questions as to whether payment obligations and covenants should be enforced, modified or waived, or whether debt should be restructured, modified or refinanced. For a discussion of the risks associated with conflicts of interest, see “Item 1. Business—Regulation—Conflicts of Interest” and “Item 1A. Risk Factors—Risks Related to OFS Advisor and its Affiliates—We have potential conflicts of interest related to the purchases and sales that OFS Advisor makes on our behalf and/or on behalf of Affiliated Accounts” in our Annual Report on Form 10-K for the year ended December 31,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Composition and Investment Activity</w:t>
      </w:r>
    </w:p>
    <w:p>
      <w:pPr>
        <w:spacing w:after="0" w:line="11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Portfolio Composition</w:t>
      </w:r>
    </w:p>
    <w:p>
      <w:pPr>
        <w:spacing w:after="0" w:line="121" w:lineRule="exact"/>
        <w:rPr>
          <w:sz w:val="20"/>
          <w:szCs w:val="20"/>
          <w:color w:val="auto"/>
        </w:rPr>
      </w:pPr>
    </w:p>
    <w:p>
      <w:pPr>
        <w:ind w:right="60" w:firstLine="751"/>
        <w:spacing w:after="0" w:line="258" w:lineRule="auto"/>
        <w:rPr>
          <w:sz w:val="20"/>
          <w:szCs w:val="20"/>
          <w:color w:val="auto"/>
        </w:rPr>
      </w:pPr>
      <w:r>
        <w:rPr>
          <w:rFonts w:ascii="Times New Roman" w:cs="Times New Roman" w:eastAsia="Times New Roman" w:hAnsi="Times New Roman"/>
          <w:sz w:val="18"/>
          <w:szCs w:val="18"/>
          <w:color w:val="auto"/>
        </w:rPr>
        <w:t>As of September 30, 2026, the fair value of our debt investment portfolio totaled $111.1 million in 31 portfolio companies, of which approximately 97% and 3% were first lien and second lien debt investments, respectively. We also had equity investments in 14 portfolio companies with a fair value of approximately $113.9 million and nine investments in Structured Finance Securities with a fair value of approximately $27.1 million. As of September 30, 2026, we had $4.0 million in outstanding unfunded commitments to 11 portfolio companies. Set forth in the tables and charts below is selected information with respect to our portfolio as of September 30, 2026 and December 31,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50" w:name="page51"/>
    <w:bookmarkEnd w:id="50"/>
    <w:p>
      <w:pPr>
        <w:ind w:left="747"/>
        <w:spacing w:after="0"/>
        <w:rPr>
          <w:sz w:val="20"/>
          <w:szCs w:val="20"/>
          <w:color w:val="auto"/>
        </w:rPr>
      </w:pPr>
      <w:r>
        <w:rPr>
          <w:rFonts w:ascii="Times New Roman" w:cs="Times New Roman" w:eastAsia="Times New Roman" w:hAnsi="Times New Roman"/>
          <w:sz w:val="18"/>
          <w:szCs w:val="18"/>
          <w:color w:val="auto"/>
        </w:rPr>
        <w:t>The following table presents our ten largest investments by issuer based on fair value as of September 30, 2026 (dollar amounts in thousands):</w:t>
      </w:r>
    </w:p>
    <w:p>
      <w:pPr>
        <w:spacing w:after="0" w:line="167" w:lineRule="exact"/>
        <w:rPr>
          <w:sz w:val="20"/>
          <w:szCs w:val="20"/>
          <w:color w:val="auto"/>
        </w:rPr>
      </w:pPr>
    </w:p>
    <w:tbl>
      <w:tblPr>
        <w:tblLayout w:type="fixed"/>
        <w:tblInd w:w="7"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20" w:type="dxa"/>
            <w:vAlign w:val="bottom"/>
          </w:tcPr>
          <w:p>
            <w:pPr>
              <w:spacing w:after="0"/>
              <w:rPr>
                <w:sz w:val="18"/>
                <w:szCs w:val="18"/>
                <w:color w:val="auto"/>
              </w:rPr>
            </w:pPr>
          </w:p>
        </w:tc>
        <w:tc>
          <w:tcPr>
            <w:tcW w:w="1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 of Net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Portfolio, at</w:t>
            </w:r>
          </w:p>
        </w:tc>
        <w:tc>
          <w:tcPr>
            <w:tcW w:w="120" w:type="dxa"/>
            <w:vAlign w:val="bottom"/>
          </w:tcPr>
          <w:p>
            <w:pPr>
              <w:spacing w:after="0"/>
              <w:rPr>
                <w:sz w:val="18"/>
                <w:szCs w:val="18"/>
                <w:color w:val="auto"/>
              </w:rPr>
            </w:pPr>
          </w:p>
        </w:tc>
        <w:tc>
          <w:tcPr>
            <w:tcW w:w="1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Assets, at</w:t>
            </w:r>
          </w:p>
        </w:tc>
        <w:tc>
          <w:tcPr>
            <w:tcW w:w="0" w:type="dxa"/>
            <w:vAlign w:val="bottom"/>
          </w:tcPr>
          <w:p>
            <w:pPr>
              <w:spacing w:after="0"/>
              <w:rPr>
                <w:sz w:val="1"/>
                <w:szCs w:val="1"/>
                <w:color w:val="auto"/>
              </w:rPr>
            </w:pPr>
          </w:p>
        </w:tc>
      </w:tr>
      <w:tr>
        <w:trPr>
          <w:trHeight w:val="238"/>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Issuer Name</w:t>
            </w:r>
          </w:p>
        </w:tc>
        <w:tc>
          <w:tcPr>
            <w:tcW w:w="14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2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Pfanstiehl Holdings, Inc.</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87,710</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Inergex Holdings, LLC</w:t>
            </w:r>
          </w:p>
        </w:tc>
        <w:tc>
          <w:tcPr>
            <w:tcW w:w="14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17,303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Datascan Holdings, Inc.</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13,882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16,860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One GI LLC</w:t>
            </w:r>
          </w:p>
        </w:tc>
        <w:tc>
          <w:tcPr>
            <w:tcW w:w="14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10,682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Boca Home Care Holdings, Inc.</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Debt and Equity</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10,625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10,128</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1"/>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Planet Bingo, LLC (F/K/A 3rd Rock Gaming</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Holdings, LLC)</w:t>
            </w:r>
          </w:p>
        </w:tc>
        <w:tc>
          <w:tcPr>
            <w:tcW w:w="1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8,574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Tolemar Acquisition, Inc.</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15,785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8,334</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24 Seven Holdco, LLC</w:t>
            </w:r>
          </w:p>
        </w:tc>
        <w:tc>
          <w:tcPr>
            <w:tcW w:w="14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8,317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PSB Group, LLC</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7,790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7,900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8"/>
        </w:trPr>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Canyon CLO 2019-1, Ltd.</w:t>
            </w:r>
          </w:p>
        </w:tc>
        <w:tc>
          <w:tcPr>
            <w:tcW w:w="140" w:type="dxa"/>
            <w:vAlign w:val="bottom"/>
          </w:tcPr>
          <w:p>
            <w:pPr>
              <w:spacing w:after="0"/>
              <w:rPr>
                <w:sz w:val="17"/>
                <w:szCs w:val="17"/>
                <w:color w:val="auto"/>
              </w:rPr>
            </w:pPr>
          </w:p>
        </w:tc>
        <w:tc>
          <w:tcPr>
            <w:tcW w:w="13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Structured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9,782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6,902</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1"/>
        </w:trPr>
        <w:tc>
          <w:tcPr>
            <w:tcW w:w="3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Finance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110,352</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182,710</w:t>
            </w:r>
          </w:p>
        </w:tc>
        <w:tc>
          <w:tcPr>
            <w:tcW w:w="12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Borders>
              <w:bottom w:val="single" w:sz="8" w:color="CFF0FC"/>
            </w:tcBorders>
            <w:shd w:val="clear" w:color="auto" w:fill="CFF0FC"/>
          </w:tcPr>
          <w:p>
            <w:pPr>
              <w:spacing w:after="0"/>
              <w:rPr>
                <w:sz w:val="22"/>
                <w:szCs w:val="22"/>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4234815</wp:posOffset>
            </wp:positionH>
            <wp:positionV relativeFrom="paragraph">
              <wp:posOffset>-25400</wp:posOffset>
            </wp:positionV>
            <wp:extent cx="774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-7620</wp:posOffset>
            </wp:positionV>
            <wp:extent cx="774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-25400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-7620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6129655</wp:posOffset>
            </wp:positionH>
            <wp:positionV relativeFrom="paragraph">
              <wp:posOffset>-25400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6129655</wp:posOffset>
            </wp:positionH>
            <wp:positionV relativeFrom="paragraph">
              <wp:posOffset>-7620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7" w:right="60" w:firstLine="751"/>
        <w:spacing w:after="0" w:line="255" w:lineRule="auto"/>
        <w:rPr>
          <w:sz w:val="20"/>
          <w:szCs w:val="20"/>
          <w:color w:val="auto"/>
        </w:rPr>
      </w:pPr>
      <w:r>
        <w:rPr>
          <w:rFonts w:ascii="Times New Roman" w:cs="Times New Roman" w:eastAsia="Times New Roman" w:hAnsi="Times New Roman"/>
          <w:sz w:val="18"/>
          <w:szCs w:val="18"/>
          <w:color w:val="auto"/>
        </w:rPr>
        <w:t>As of September 30, 2026, our common equity investment in Pfanstiehl Holdings, Inc., a global manufacturer of high-purity pharmaceutical ingredients, accounted for 34.8% and 88.7% of our total portfolio at fair value and our total net assets, respectively. The value of this investment is substantially comprised of unrealized appreciation of $87.5 million. The valuation’s unobservable inputs incorporate discounts for the minority-interest and illiquid nature of the security; however, the valuation, in accordance with fair value concepts, is based on assumptions applicable to an orderly transaction between market participants and does not reflect the impact of a forced sale or entity-specific liquidity constraints. As a result, there can be no assurance that we would be able to realize this value in a timely manner, or at all. See “—Recent Developments—Partial Monetization of Equity Interest” for additional information.</w:t>
      </w:r>
    </w:p>
    <w:p>
      <w:pPr>
        <w:spacing w:after="0" w:line="81" w:lineRule="exact"/>
        <w:rPr>
          <w:sz w:val="20"/>
          <w:szCs w:val="20"/>
          <w:color w:val="auto"/>
        </w:rPr>
      </w:pPr>
    </w:p>
    <w:p>
      <w:pPr>
        <w:ind w:left="7" w:right="300" w:firstLine="751"/>
        <w:spacing w:after="0" w:line="282" w:lineRule="auto"/>
        <w:rPr>
          <w:sz w:val="20"/>
          <w:szCs w:val="20"/>
          <w:color w:val="auto"/>
        </w:rPr>
      </w:pPr>
      <w:r>
        <w:rPr>
          <w:rFonts w:ascii="Times New Roman" w:cs="Times New Roman" w:eastAsia="Times New Roman" w:hAnsi="Times New Roman"/>
          <w:sz w:val="18"/>
          <w:szCs w:val="18"/>
          <w:color w:val="auto"/>
        </w:rPr>
        <w:t>A deterioration or improvement in the operating performance of these portfolio investments, or other factors underlying the valuation of these investments, could have a material impact on our NAV.</w:t>
      </w:r>
    </w:p>
    <w:p>
      <w:pPr>
        <w:spacing w:after="0" w:line="50"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18"/>
          <w:szCs w:val="18"/>
          <w:b w:val="1"/>
          <w:bCs w:val="1"/>
          <w:color w:val="auto"/>
        </w:rPr>
        <w:t>Portfolio Yields</w:t>
      </w:r>
    </w:p>
    <w:p>
      <w:pPr>
        <w:spacing w:after="0" w:line="121"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18"/>
          <w:szCs w:val="18"/>
          <w:color w:val="auto"/>
        </w:rPr>
        <w:t>The following table presents weighted-average yield metrics for our portfolio for the three months ended September 30, 2026 and June 30, 2026:</w:t>
      </w:r>
    </w:p>
    <w:p>
      <w:pPr>
        <w:spacing w:after="0" w:line="167" w:lineRule="exact"/>
        <w:rPr>
          <w:sz w:val="20"/>
          <w:szCs w:val="20"/>
          <w:color w:val="auto"/>
        </w:rPr>
      </w:pPr>
    </w:p>
    <w:tbl>
      <w:tblPr>
        <w:tblLayout w:type="fixed"/>
        <w:tblInd w:w="7"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p>
        </w:tc>
        <w:tc>
          <w:tcPr>
            <w:tcW w:w="400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23"/>
        </w:trPr>
        <w:tc>
          <w:tcPr>
            <w:tcW w:w="7260" w:type="dxa"/>
            <w:vAlign w:val="bottom"/>
          </w:tcPr>
          <w:p>
            <w:pPr>
              <w:spacing w:after="0"/>
              <w:rPr>
                <w:sz w:val="19"/>
                <w:szCs w:val="19"/>
                <w:color w:val="auto"/>
              </w:rPr>
            </w:pPr>
          </w:p>
        </w:tc>
        <w:tc>
          <w:tcPr>
            <w:tcW w:w="2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80" w:type="dxa"/>
            <w:vAlign w:val="bottom"/>
          </w:tcPr>
          <w:p>
            <w:pPr>
              <w:spacing w:after="0"/>
              <w:rPr>
                <w:sz w:val="19"/>
                <w:szCs w:val="19"/>
                <w:color w:val="auto"/>
              </w:rPr>
            </w:pPr>
          </w:p>
        </w:tc>
        <w:tc>
          <w:tcPr>
            <w:tcW w:w="17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 2026</w:t>
            </w:r>
          </w:p>
        </w:tc>
      </w:tr>
      <w:tr>
        <w:trPr>
          <w:trHeight w:val="236"/>
        </w:trPr>
        <w:tc>
          <w:tcPr>
            <w:tcW w:w="7260" w:type="dxa"/>
            <w:vAlign w:val="bottom"/>
            <w:shd w:val="clear" w:color="auto" w:fill="CFF0FC"/>
          </w:tcPr>
          <w:p>
            <w:pPr>
              <w:spacing w:after="0" w:line="236" w:lineRule="exact"/>
              <w:rPr>
                <w:sz w:val="20"/>
                <w:szCs w:val="20"/>
                <w:color w:val="auto"/>
              </w:rPr>
            </w:pPr>
            <w:r>
              <w:rPr>
                <w:rFonts w:ascii="Times New Roman" w:cs="Times New Roman" w:eastAsia="Times New Roman" w:hAnsi="Times New Roman"/>
                <w:sz w:val="18"/>
                <w:szCs w:val="18"/>
                <w:color w:val="auto"/>
              </w:rPr>
              <w:t>Weighted-average performing income yield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p>
        </w:tc>
        <w:tc>
          <w:tcPr>
            <w:tcW w:w="20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r>
      <w:tr>
        <w:trPr>
          <w:trHeight w:val="230"/>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investments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7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3"/>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Interest-bearing investments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726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7260" w:type="dxa"/>
            <w:vAlign w:val="bottom"/>
            <w:shd w:val="clear" w:color="auto" w:fill="CFF0FC"/>
          </w:tcPr>
          <w:p>
            <w:pPr>
              <w:spacing w:after="0" w:line="229" w:lineRule="exact"/>
              <w:rPr>
                <w:sz w:val="20"/>
                <w:szCs w:val="20"/>
                <w:color w:val="auto"/>
              </w:rPr>
            </w:pPr>
            <w:r>
              <w:rPr>
                <w:rFonts w:ascii="Times New Roman" w:cs="Times New Roman" w:eastAsia="Times New Roman" w:hAnsi="Times New Roman"/>
                <w:sz w:val="18"/>
                <w:szCs w:val="18"/>
                <w:color w:val="auto"/>
              </w:rPr>
              <w:t>Weighted-average realized yield</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t>
            </w:r>
          </w:p>
        </w:tc>
        <w:tc>
          <w:tcPr>
            <w:tcW w:w="2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r>
      <w:tr>
        <w:trPr>
          <w:trHeight w:val="234"/>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Interest-bearing investments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5932170</wp:posOffset>
            </wp:positionH>
            <wp:positionV relativeFrom="paragraph">
              <wp:posOffset>-619760</wp:posOffset>
            </wp:positionV>
            <wp:extent cx="111760" cy="3257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11760" cy="325755"/>
                    </a:xfrm>
                    <a:prstGeom prst="rect">
                      <a:avLst/>
                    </a:prstGeom>
                    <a:noFill/>
                  </pic:spPr>
                </pic:pic>
              </a:graphicData>
            </a:graphic>
          </wp:anchor>
        </w:drawing>
      </w:r>
    </w:p>
    <w:p>
      <w:pPr>
        <w:spacing w:after="0" w:line="78" w:lineRule="exact"/>
        <w:rPr>
          <w:sz w:val="20"/>
          <w:szCs w:val="20"/>
          <w:color w:val="auto"/>
        </w:rPr>
      </w:pPr>
    </w:p>
    <w:p>
      <w:pPr>
        <w:ind w:left="367" w:right="80" w:hanging="367"/>
        <w:spacing w:after="0" w:line="282" w:lineRule="auto"/>
        <w:tabs>
          <w:tab w:leader="none" w:pos="36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income yield is calculated as (a) the actual amount earned on performing interest-bearing investments, including interest, prepayment fees and amortization of Net Loan Fees, divided by (b) the weighted-average of total performing interest-bearing investments at amortized cost.</w:t>
      </w:r>
    </w:p>
    <w:p>
      <w:pPr>
        <w:spacing w:after="0" w:line="53" w:lineRule="exact"/>
        <w:rPr>
          <w:rFonts w:ascii="Times New Roman" w:cs="Times New Roman" w:eastAsia="Times New Roman" w:hAnsi="Times New Roman"/>
          <w:sz w:val="18"/>
          <w:szCs w:val="18"/>
          <w:color w:val="auto"/>
        </w:rPr>
      </w:pPr>
    </w:p>
    <w:p>
      <w:pPr>
        <w:ind w:left="367" w:right="20" w:hanging="367"/>
        <w:spacing w:after="0" w:line="266" w:lineRule="auto"/>
        <w:tabs>
          <w:tab w:leader="none" w:pos="36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yield is calculated as (a) the actual amount earned on interest-bearing investments, including interest, prepayment fees and amortization of Net Loan Fees, divided by (b) the weighted-average of total interest-bearing investments at amortized cost, in each case, including debt investments on non-accrual status and non-performing Structured Finance Securities.</w:t>
      </w:r>
    </w:p>
    <w:p>
      <w:pPr>
        <w:spacing w:after="0" w:line="68" w:lineRule="exact"/>
        <w:rPr>
          <w:sz w:val="20"/>
          <w:szCs w:val="20"/>
          <w:color w:val="auto"/>
        </w:rPr>
      </w:pPr>
    </w:p>
    <w:p>
      <w:pPr>
        <w:jc w:val="both"/>
        <w:ind w:left="7" w:right="340" w:firstLine="751"/>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the weighted-average performing income yield on interest-bearing investments increased to 13.1% from 12.1% during the prior quarter. This increase was primarily attributable to an increase in non-recurring prepayment fees and Net Loan Fees related to the full repayment of certain debt investments.</w:t>
      </w:r>
    </w:p>
    <w:p>
      <w:pPr>
        <w:spacing w:after="0" w:line="17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088" w:right="318" w:bottom="1440" w:gutter="0" w:footer="0" w:header="0"/>
        </w:sectPr>
      </w:pPr>
    </w:p>
    <w:bookmarkStart w:id="51" w:name="page52"/>
    <w:bookmarkEnd w:id="51"/>
    <w:p>
      <w:pPr>
        <w:ind w:left="7" w:right="200" w:firstLine="751"/>
        <w:spacing w:after="0" w:line="261" w:lineRule="auto"/>
        <w:rPr>
          <w:sz w:val="20"/>
          <w:szCs w:val="20"/>
          <w:color w:val="auto"/>
        </w:rPr>
      </w:pPr>
      <w:r>
        <w:rPr>
          <w:rFonts w:ascii="Times New Roman" w:cs="Times New Roman" w:eastAsia="Times New Roman" w:hAnsi="Times New Roman"/>
          <w:sz w:val="18"/>
          <w:szCs w:val="18"/>
          <w:color w:val="auto"/>
        </w:rPr>
        <w:t>Weighted-average yields of our investments are not the same as a return on investment for our stockholders, but rather the gross investment income from our investment portfolio before the payment of all of our fees and expenses. There can be no assurance that the weighted average yields will remain at their current levels. As of September 30, 2026, 92% of our total loan and mezzanine debt investments, at fair value, consisted of variable rate investments, generally indexed to SOFR. See additional information under “Item 3. Quantitative and Qualitative Disclosures About Market Risk.”</w:t>
      </w:r>
    </w:p>
    <w:p>
      <w:pPr>
        <w:spacing w:after="0" w:line="68"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18"/>
          <w:szCs w:val="18"/>
          <w:b w:val="1"/>
          <w:bCs w:val="1"/>
          <w:color w:val="auto"/>
        </w:rPr>
        <w:t>Portfolio Company Investments</w:t>
      </w:r>
    </w:p>
    <w:p>
      <w:pPr>
        <w:spacing w:after="0" w:line="121" w:lineRule="exact"/>
        <w:rPr>
          <w:sz w:val="20"/>
          <w:szCs w:val="20"/>
          <w:color w:val="auto"/>
        </w:rPr>
      </w:pPr>
    </w:p>
    <w:p>
      <w:pPr>
        <w:ind w:left="7" w:firstLine="75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composition of our Portfolio Company Investments as of September 30, 2026 and December 31, 2025 (dollar amounts in thousands):</w:t>
      </w:r>
    </w:p>
    <w:p>
      <w:pPr>
        <w:spacing w:after="0" w:line="104" w:lineRule="exact"/>
        <w:rPr>
          <w:sz w:val="20"/>
          <w:szCs w:val="20"/>
          <w:color w:val="auto"/>
        </w:rPr>
      </w:pPr>
    </w:p>
    <w:tbl>
      <w:tblPr>
        <w:tblLayout w:type="fixed"/>
        <w:tblInd w:w="7"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1"/>
        </w:trPr>
        <w:tc>
          <w:tcPr>
            <w:tcW w:w="5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210"/>
              <w:spacing w:after="0" w:line="201"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9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8"/>
        </w:trPr>
        <w:tc>
          <w:tcPr>
            <w:tcW w:w="5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5760" w:type="dxa"/>
            <w:vAlign w:val="bottom"/>
            <w:shd w:val="clear" w:color="auto" w:fill="CFF0FC"/>
          </w:tcPr>
          <w:p>
            <w:pPr>
              <w:spacing w:after="0" w:line="222" w:lineRule="exact"/>
              <w:rPr>
                <w:sz w:val="20"/>
                <w:szCs w:val="20"/>
                <w:color w:val="auto"/>
              </w:rPr>
            </w:pPr>
            <w:r>
              <w:rPr>
                <w:rFonts w:ascii="Times New Roman" w:cs="Times New Roman" w:eastAsia="Times New Roman" w:hAnsi="Times New Roman"/>
                <w:sz w:val="18"/>
                <w:szCs w:val="18"/>
                <w:color w:val="auto"/>
              </w:rPr>
              <w:t>First lien debt investments</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132,536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108,291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188,236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170,405</w:t>
            </w: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Second lien debt investments</w:t>
            </w:r>
          </w:p>
        </w:tc>
        <w:tc>
          <w:tcPr>
            <w:tcW w:w="1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9,409</w:t>
            </w:r>
          </w:p>
        </w:tc>
      </w:tr>
      <w:tr>
        <w:trPr>
          <w:trHeight w:val="23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equity</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16,305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17,134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14,287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12,567</w:t>
            </w: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Common equity, warrants and other</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26,739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96,738</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23,320</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88,029</w:t>
            </w:r>
          </w:p>
        </w:tc>
      </w:tr>
      <w:tr>
        <w:trPr>
          <w:trHeight w:val="263"/>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Portfolio Company Investments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185,028</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225,017</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250,767</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280,410</w:t>
            </w:r>
          </w:p>
        </w:tc>
      </w:tr>
      <w:tr>
        <w:trPr>
          <w:trHeight w:val="215"/>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Number of portfolio companies</w:t>
            </w: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-173990</wp:posOffset>
            </wp:positionV>
            <wp:extent cx="1885950" cy="1714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885950" cy="171450"/>
                    </a:xfrm>
                    <a:prstGeom prst="rect">
                      <a:avLst/>
                    </a:prstGeom>
                    <a:noFill/>
                  </pic:spPr>
                </pic:pic>
              </a:graphicData>
            </a:graphic>
          </wp:anchor>
        </w:drawing>
      </w:r>
    </w:p>
    <w:p>
      <w:pPr>
        <w:spacing w:after="0" w:line="78" w:lineRule="exact"/>
        <w:rPr>
          <w:sz w:val="20"/>
          <w:szCs w:val="20"/>
          <w:color w:val="auto"/>
        </w:rPr>
      </w:pPr>
    </w:p>
    <w:p>
      <w:pPr>
        <w:ind w:left="367" w:right="20" w:hanging="367"/>
        <w:spacing w:after="0" w:line="258" w:lineRule="auto"/>
        <w:tabs>
          <w:tab w:leader="none" w:pos="36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2026 and December 31, 2025, first lien debt investments include unitranche investments (which are loans that combine both senior and subordinated debt, in a first lien position) with an amortized cost and fair value of $86.6 million and $70.0 million, respectively, and $130.3 million and $116.3 million, respectively. Unitranche loans generally provide leverage levels comparable to a combination of first lien and second lien or subordinated loans. Investments in “last out” pieces of unitranche loans will be similar to second lien loans in that such investments will be junior in priority to the “first out” piece of the same unitranche loan with respect to payment of principal and interest.</w:t>
      </w:r>
    </w:p>
    <w:p>
      <w:pPr>
        <w:spacing w:after="0" w:line="75"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18"/>
          <w:szCs w:val="18"/>
          <w:color w:val="auto"/>
        </w:rPr>
        <w:t>As of September 30, 2026, 100% of our loan portfolio and 44% of our total portfolio consisted of first lien and second lien loans, based on fair</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value.</w:t>
      </w:r>
    </w:p>
    <w:p>
      <w:pPr>
        <w:spacing w:after="0" w:line="99" w:lineRule="exact"/>
        <w:rPr>
          <w:sz w:val="20"/>
          <w:szCs w:val="20"/>
          <w:color w:val="auto"/>
        </w:rPr>
      </w:pPr>
    </w:p>
    <w:p>
      <w:pPr>
        <w:ind w:left="7" w:right="80" w:firstLine="751"/>
        <w:spacing w:after="0" w:line="261" w:lineRule="auto"/>
        <w:rPr>
          <w:sz w:val="20"/>
          <w:szCs w:val="20"/>
          <w:color w:val="auto"/>
        </w:rPr>
      </w:pPr>
      <w:r>
        <w:rPr>
          <w:rFonts w:ascii="Times New Roman" w:cs="Times New Roman" w:eastAsia="Times New Roman" w:hAnsi="Times New Roman"/>
          <w:sz w:val="18"/>
          <w:szCs w:val="18"/>
          <w:color w:val="auto"/>
        </w:rPr>
        <w:t>As of September 30, 2026, the three largest industries of our Portfolio Company Investments by fair value, were: (1) Manufacturing (43.7%); (2) Real Estate and Rental and Leasing (11.6%); and (3) Professional, Scientific, and Technical Services (10.1%), totaling an aggregate of approximately</w:t>
      </w:r>
    </w:p>
    <w:p>
      <w:pPr>
        <w:ind w:left="7" w:right="280"/>
        <w:spacing w:after="0" w:line="260" w:lineRule="auto"/>
        <w:rPr>
          <w:sz w:val="20"/>
          <w:szCs w:val="20"/>
          <w:color w:val="auto"/>
        </w:rPr>
      </w:pPr>
      <w:r>
        <w:rPr>
          <w:rFonts w:ascii="Times New Roman" w:cs="Times New Roman" w:eastAsia="Times New Roman" w:hAnsi="Times New Roman"/>
          <w:sz w:val="18"/>
          <w:szCs w:val="18"/>
          <w:color w:val="auto"/>
        </w:rPr>
        <w:t xml:space="preserve">65.4% of our Portfolio Company Investment portfolio. For a full summary of our investment portfolio by industry, see “Item 1—Financial Statements— </w:t>
      </w:r>
      <w:r>
        <w:rPr>
          <w:rFonts w:ascii="Times New Roman" w:cs="Times New Roman" w:eastAsia="Times New Roman" w:hAnsi="Times New Roman"/>
          <w:sz w:val="18"/>
          <w:szCs w:val="18"/>
          <w:b w:val="1"/>
          <w:bCs w:val="1"/>
          <w:color w:val="auto"/>
        </w:rPr>
        <w:t>Note 4</w:t>
      </w:r>
      <w:r>
        <w:rPr>
          <w:rFonts w:ascii="Times New Roman" w:cs="Times New Roman" w:eastAsia="Times New Roman" w:hAnsi="Times New Roman"/>
          <w:sz w:val="18"/>
          <w:szCs w:val="18"/>
          <w:color w:val="auto"/>
        </w:rPr>
        <w:t>.”</w:t>
      </w:r>
    </w:p>
    <w:p>
      <w:pPr>
        <w:spacing w:after="0" w:line="69"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18"/>
          <w:szCs w:val="18"/>
          <w:b w:val="1"/>
          <w:bCs w:val="1"/>
          <w:color w:val="auto"/>
        </w:rPr>
        <w:t>Structured Finance Securities</w:t>
      </w:r>
    </w:p>
    <w:p>
      <w:pPr>
        <w:spacing w:after="0" w:line="121" w:lineRule="exact"/>
        <w:rPr>
          <w:sz w:val="20"/>
          <w:szCs w:val="20"/>
          <w:color w:val="auto"/>
        </w:rPr>
      </w:pPr>
    </w:p>
    <w:p>
      <w:pPr>
        <w:ind w:left="7" w:right="180" w:firstLine="75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composition of our Structured Finance Securities as of September 30, 2026 and December 31, 2025 (dollar amounts in thousands):</w:t>
      </w:r>
    </w:p>
    <w:p>
      <w:pPr>
        <w:spacing w:after="0" w:line="104" w:lineRule="exact"/>
        <w:rPr>
          <w:sz w:val="20"/>
          <w:szCs w:val="20"/>
          <w:color w:val="auto"/>
        </w:rPr>
      </w:pPr>
    </w:p>
    <w:tbl>
      <w:tblPr>
        <w:tblLayout w:type="fixed"/>
        <w:tblInd w:w="7"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1"/>
        </w:trPr>
        <w:tc>
          <w:tcPr>
            <w:tcW w:w="5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9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9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8"/>
        </w:trPr>
        <w:tc>
          <w:tcPr>
            <w:tcW w:w="5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46,171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25,454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68,670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53,531</w:t>
            </w: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Mezzanine debt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2,971</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8,963</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8,074</w:t>
            </w:r>
          </w:p>
        </w:tc>
      </w:tr>
      <w:tr>
        <w:trPr>
          <w:trHeight w:val="263"/>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Structured Finance Securities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49,142</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27,130</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77,633</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61,605</w:t>
            </w:r>
          </w:p>
        </w:tc>
      </w:tr>
      <w:tr>
        <w:trPr>
          <w:trHeight w:val="21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Number of Structured Finance Securities</w:t>
            </w: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-173990</wp:posOffset>
            </wp:positionV>
            <wp:extent cx="1868805" cy="1714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868805" cy="171450"/>
                    </a:xfrm>
                    <a:prstGeom prst="rect">
                      <a:avLst/>
                    </a:prstGeom>
                    <a:noFill/>
                  </pic:spPr>
                </pic:pic>
              </a:graphicData>
            </a:graphic>
          </wp:anchor>
        </w:drawing>
      </w:r>
    </w:p>
    <w:p>
      <w:pPr>
        <w:spacing w:after="0" w:line="78" w:lineRule="exact"/>
        <w:rPr>
          <w:sz w:val="20"/>
          <w:szCs w:val="20"/>
          <w:color w:val="auto"/>
        </w:rPr>
      </w:pPr>
    </w:p>
    <w:p>
      <w:pPr>
        <w:jc w:val="both"/>
        <w:ind w:left="7" w:right="40" w:firstLine="751"/>
        <w:spacing w:after="0" w:line="266" w:lineRule="auto"/>
        <w:rPr>
          <w:sz w:val="20"/>
          <w:szCs w:val="20"/>
          <w:color w:val="auto"/>
        </w:rPr>
      </w:pPr>
      <w:r>
        <w:rPr>
          <w:rFonts w:ascii="Times New Roman" w:cs="Times New Roman" w:eastAsia="Times New Roman" w:hAnsi="Times New Roman"/>
          <w:sz w:val="18"/>
          <w:szCs w:val="18"/>
          <w:color w:val="auto"/>
        </w:rPr>
        <w:t>Non-performing Structured Finance Securities are securities that have not been optionally redeemed and have an effective yield of 0.0%, because the remaining residual distributions are anticipated to be recognized as a return of capital. As of September 30, 2026, the aggregate amortized cost and fair value of non-performing Structured Finance Securities was $6.9 million and $1.0 million, respectively.</w:t>
      </w:r>
    </w:p>
    <w:p>
      <w:pPr>
        <w:spacing w:after="0" w:line="68" w:lineRule="exact"/>
        <w:rPr>
          <w:sz w:val="20"/>
          <w:szCs w:val="20"/>
          <w:color w:val="auto"/>
        </w:rPr>
      </w:pPr>
    </w:p>
    <w:p>
      <w:pPr>
        <w:ind w:left="7" w:right="500" w:firstLine="751"/>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we sold Structured Finance Securities for net proceeds of $13.4 million, resulting in an aggregate net realized loss of $13.9 million.</w:t>
      </w:r>
    </w:p>
    <w:p>
      <w:pPr>
        <w:spacing w:after="0" w:line="16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088" w:right="318" w:bottom="1440" w:gutter="0" w:footer="0" w:header="0"/>
        </w:sectPr>
      </w:pPr>
    </w:p>
    <w:bookmarkStart w:id="52" w:name="page53"/>
    <w:bookmarkEnd w:id="52"/>
    <w:p>
      <w:pPr>
        <w:ind w:left="740"/>
        <w:spacing w:after="0"/>
        <w:rPr>
          <w:sz w:val="20"/>
          <w:szCs w:val="20"/>
          <w:color w:val="auto"/>
        </w:rPr>
      </w:pPr>
      <w:r>
        <w:rPr>
          <w:rFonts w:ascii="Times New Roman" w:cs="Times New Roman" w:eastAsia="Times New Roman" w:hAnsi="Times New Roman"/>
          <w:sz w:val="18"/>
          <w:szCs w:val="18"/>
          <w:b w:val="1"/>
          <w:bCs w:val="1"/>
          <w:color w:val="auto"/>
        </w:rPr>
        <w:t>Investment Activity</w:t>
      </w:r>
    </w:p>
    <w:p>
      <w:pPr>
        <w:spacing w:after="0" w:line="121" w:lineRule="exact"/>
        <w:rPr>
          <w:sz w:val="20"/>
          <w:szCs w:val="20"/>
          <w:color w:val="auto"/>
        </w:rPr>
      </w:pPr>
    </w:p>
    <w:p>
      <w:pPr>
        <w:ind w:right="220" w:firstLine="751"/>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investment activity for the three months ended September 30, 2026 and June 30, 2026, and the nine months ended September 30, 2026 and 2025 (dollar amounts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01"/>
        </w:trPr>
        <w:tc>
          <w:tcPr>
            <w:tcW w:w="5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7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7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ind w:right="1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5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debt and equity securities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7,668</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2,147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22,964</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Structured Finance Securities</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18,040</w:t>
            </w:r>
          </w:p>
        </w:tc>
        <w:tc>
          <w:tcPr>
            <w:tcW w:w="0" w:type="dxa"/>
            <w:vAlign w:val="bottom"/>
          </w:tcPr>
          <w:p>
            <w:pPr>
              <w:spacing w:after="0"/>
              <w:rPr>
                <w:sz w:val="1"/>
                <w:szCs w:val="1"/>
                <w:color w:val="auto"/>
              </w:rPr>
            </w:pPr>
          </w:p>
        </w:tc>
      </w:tr>
      <w:tr>
        <w:trPr>
          <w:trHeight w:val="263"/>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investment purchases and originations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7,668</w:t>
            </w:r>
          </w:p>
        </w:tc>
        <w:tc>
          <w:tcPr>
            <w:tcW w:w="1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2,147</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11,924</w:t>
            </w:r>
          </w:p>
        </w:tc>
        <w:tc>
          <w:tcPr>
            <w:tcW w:w="1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41,004</w:t>
            </w:r>
          </w:p>
        </w:tc>
        <w:tc>
          <w:tcPr>
            <w:tcW w:w="0" w:type="dxa"/>
            <w:vAlign w:val="bottom"/>
          </w:tcPr>
          <w:p>
            <w:pPr>
              <w:spacing w:after="0"/>
              <w:rPr>
                <w:sz w:val="1"/>
                <w:szCs w:val="1"/>
                <w:color w:val="auto"/>
              </w:rPr>
            </w:pPr>
          </w:p>
        </w:tc>
      </w:tr>
      <w:tr>
        <w:trPr>
          <w:trHeight w:val="4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principal payments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38,936</w:t>
            </w:r>
          </w:p>
        </w:tc>
        <w:tc>
          <w:tcPr>
            <w:tcW w:w="500" w:type="dxa"/>
            <w:vAlign w:val="bottom"/>
            <w:gridSpan w:val="2"/>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48,891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22,804</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investments sold or redeemed</w:t>
            </w: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2,391</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32,903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26,702</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distributions received from portfolio investments</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2,585</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2,381</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7,444</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11,055</w:t>
            </w:r>
          </w:p>
        </w:tc>
        <w:tc>
          <w:tcPr>
            <w:tcW w:w="0" w:type="dxa"/>
            <w:vAlign w:val="bottom"/>
          </w:tcPr>
          <w:p>
            <w:pPr>
              <w:spacing w:after="0"/>
              <w:rPr>
                <w:sz w:val="1"/>
                <w:szCs w:val="1"/>
                <w:color w:val="auto"/>
              </w:rPr>
            </w:pPr>
          </w:p>
        </w:tc>
      </w:tr>
      <w:tr>
        <w:trPr>
          <w:trHeight w:val="205"/>
        </w:trPr>
        <w:tc>
          <w:tcPr>
            <w:tcW w:w="51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Total proceeds from principal payments, sales or redemptions, and</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43,912</w:t>
            </w:r>
          </w:p>
        </w:tc>
        <w:tc>
          <w:tcPr>
            <w:tcW w:w="500" w:type="dxa"/>
            <w:vAlign w:val="bottom"/>
            <w:gridSpan w:val="2"/>
            <w:vMerge w:val="restart"/>
            <w:shd w:val="clear" w:color="auto" w:fill="CFF0FC"/>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19,796</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89,238</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60,561</w:t>
            </w:r>
          </w:p>
        </w:tc>
        <w:tc>
          <w:tcPr>
            <w:tcW w:w="0" w:type="dxa"/>
            <w:vAlign w:val="bottom"/>
          </w:tcPr>
          <w:p>
            <w:pPr>
              <w:spacing w:after="0"/>
              <w:rPr>
                <w:sz w:val="1"/>
                <w:szCs w:val="1"/>
                <w:color w:val="auto"/>
              </w:rPr>
            </w:pPr>
          </w:p>
        </w:tc>
      </w:tr>
      <w:tr>
        <w:trPr>
          <w:trHeight w:val="214"/>
        </w:trPr>
        <w:tc>
          <w:tcPr>
            <w:tcW w:w="51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distributions received from portfolio investments</w:t>
            </w:r>
          </w:p>
        </w:tc>
        <w:tc>
          <w:tcPr>
            <w:tcW w:w="100" w:type="dxa"/>
            <w:vAlign w:val="bottom"/>
            <w:vMerge w:val="continue"/>
            <w:shd w:val="clear" w:color="auto" w:fill="CFF0FC"/>
          </w:tcPr>
          <w:p>
            <w:pPr>
              <w:spacing w:after="0"/>
              <w:rPr>
                <w:sz w:val="18"/>
                <w:szCs w:val="18"/>
                <w:color w:val="auto"/>
              </w:rPr>
            </w:pPr>
          </w:p>
        </w:tc>
        <w:tc>
          <w:tcPr>
            <w:tcW w:w="1380" w:type="dxa"/>
            <w:vAlign w:val="bottom"/>
            <w:vMerge w:val="continue"/>
            <w:shd w:val="clear" w:color="auto" w:fill="CFF0FC"/>
          </w:tcPr>
          <w:p>
            <w:pPr>
              <w:spacing w:after="0"/>
              <w:rPr>
                <w:sz w:val="18"/>
                <w:szCs w:val="18"/>
                <w:color w:val="auto"/>
              </w:rPr>
            </w:pPr>
          </w:p>
        </w:tc>
        <w:tc>
          <w:tcPr>
            <w:tcW w:w="500" w:type="dxa"/>
            <w:vAlign w:val="bottom"/>
            <w:gridSpan w:val="2"/>
            <w:vMerge w:val="continue"/>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240" w:type="dxa"/>
            <w:vAlign w:val="bottom"/>
            <w:gridSpan w:val="2"/>
            <w:vMerge w:val="continue"/>
            <w:shd w:val="clear" w:color="auto" w:fill="CFF0FC"/>
          </w:tcPr>
          <w:p>
            <w:pPr>
              <w:spacing w:after="0"/>
              <w:rPr>
                <w:sz w:val="18"/>
                <w:szCs w:val="18"/>
                <w:color w:val="auto"/>
              </w:rPr>
            </w:pPr>
          </w:p>
        </w:tc>
        <w:tc>
          <w:tcPr>
            <w:tcW w:w="1380" w:type="dxa"/>
            <w:vAlign w:val="bottom"/>
            <w:vMerge w:val="continue"/>
            <w:shd w:val="clear" w:color="auto" w:fill="CFF0FC"/>
          </w:tcPr>
          <w:p>
            <w:pPr>
              <w:spacing w:after="0"/>
              <w:rPr>
                <w:sz w:val="18"/>
                <w:szCs w:val="18"/>
                <w:color w:val="auto"/>
              </w:rPr>
            </w:pPr>
          </w:p>
        </w:tc>
        <w:tc>
          <w:tcPr>
            <w:tcW w:w="220" w:type="dxa"/>
            <w:vAlign w:val="bottom"/>
            <w:gridSpan w:val="2"/>
            <w:vMerge w:val="continue"/>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4230370</wp:posOffset>
            </wp:positionH>
            <wp:positionV relativeFrom="paragraph">
              <wp:posOffset>-899795</wp:posOffset>
            </wp:positionV>
            <wp:extent cx="2014855" cy="3168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014855" cy="316865"/>
                    </a:xfrm>
                    <a:prstGeom prst="rect">
                      <a:avLst/>
                    </a:prstGeom>
                    <a:noFill/>
                  </pic:spPr>
                </pic:pic>
              </a:graphicData>
            </a:graphic>
          </wp:anchor>
        </w:drawing>
        <w:drawing>
          <wp:anchor simplePos="0" relativeHeight="251657728" behindDoc="1" locked="0" layoutInCell="0" allowOverlap="1">
            <wp:simplePos x="0" y="0"/>
            <wp:positionH relativeFrom="column">
              <wp:posOffset>4230370</wp:posOffset>
            </wp:positionH>
            <wp:positionV relativeFrom="paragraph">
              <wp:posOffset>-25400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4230370</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5130165</wp:posOffset>
            </wp:positionH>
            <wp:positionV relativeFrom="paragraph">
              <wp:posOffset>-25400</wp:posOffset>
            </wp:positionV>
            <wp:extent cx="857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5130165</wp:posOffset>
            </wp:positionH>
            <wp:positionV relativeFrom="paragraph">
              <wp:posOffset>-7620</wp:posOffset>
            </wp:positionV>
            <wp:extent cx="857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6158865</wp:posOffset>
            </wp:positionH>
            <wp:positionV relativeFrom="paragraph">
              <wp:posOffset>-25400</wp:posOffset>
            </wp:positionV>
            <wp:extent cx="857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6158865</wp:posOffset>
            </wp:positionH>
            <wp:positionV relativeFrom="paragraph">
              <wp:posOffset>-7620</wp:posOffset>
            </wp:positionV>
            <wp:extent cx="857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Non-Cash Investment Activity</w:t>
      </w:r>
    </w:p>
    <w:p>
      <w:pPr>
        <w:spacing w:after="0" w:line="119" w:lineRule="exact"/>
        <w:rPr>
          <w:sz w:val="20"/>
          <w:szCs w:val="20"/>
          <w:color w:val="auto"/>
        </w:rPr>
      </w:pPr>
    </w:p>
    <w:p>
      <w:pPr>
        <w:ind w:right="60" w:firstLine="751"/>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2026, our first lien debt investment in Redstone HoldCo 2 LP underwent a restructuring through which our first lien debt investment was exchanged for a combination of new first lien debt investments in the portfolio company at a price equal to 63% of par. In connection with the transaction, we recognized a realized loss of $0.6 million on the debt restructure corresponding to the amount forgiven upon the exchange. As of September 30, 2026, our new first lien debt investments had an aggregate amortized cost and fair value of $1.1 million and $1.0 million, respectively.</w:t>
      </w:r>
    </w:p>
    <w:p>
      <w:pPr>
        <w:spacing w:after="0" w:line="75" w:lineRule="exact"/>
        <w:rPr>
          <w:sz w:val="20"/>
          <w:szCs w:val="20"/>
          <w:color w:val="auto"/>
        </w:rPr>
      </w:pPr>
    </w:p>
    <w:p>
      <w:pPr>
        <w:ind w:right="140" w:firstLine="751"/>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2026, our second lien debt investments in BayMark Health Services, Inc. underwent a restructuring, through which our second lien debt investments were exchanged for new preferred and common equity investments. The cost of the existing second lien debt investments was ascribed to the preferred and common equity investments received in the exchange, and no realized loss was recognized. As of September 30, 2026, our preferred and common equity investments had an aggregate cost and fair value of $8.9 million and $0.1 million, respectively.</w:t>
      </w:r>
    </w:p>
    <w:p>
      <w:pPr>
        <w:spacing w:after="0" w:line="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Risk Monitoring</w:t>
      </w:r>
    </w:p>
    <w:p>
      <w:pPr>
        <w:spacing w:after="0" w:line="121" w:lineRule="exact"/>
        <w:rPr>
          <w:sz w:val="20"/>
          <w:szCs w:val="20"/>
          <w:color w:val="auto"/>
        </w:rPr>
      </w:pPr>
    </w:p>
    <w:p>
      <w:pPr>
        <w:ind w:right="160" w:firstLine="751"/>
        <w:spacing w:after="0" w:line="261" w:lineRule="auto"/>
        <w:rPr>
          <w:sz w:val="20"/>
          <w:szCs w:val="20"/>
          <w:color w:val="auto"/>
        </w:rPr>
      </w:pPr>
      <w:r>
        <w:rPr>
          <w:rFonts w:ascii="Times New Roman" w:cs="Times New Roman" w:eastAsia="Times New Roman" w:hAnsi="Times New Roman"/>
          <w:sz w:val="18"/>
          <w:szCs w:val="18"/>
          <w:color w:val="auto"/>
        </w:rPr>
        <w:t>We categorize debt investments into seven risk categories based on relevant information about the ability of borrowers to service their debt. For additional information regarding our risk categories, see “Item 1. Business—Portfolio Review/Risk Monitoring” in our Annual Report on Form 10-K for the year ended December 31, 2025, filed on March 3, 2026. The following table shows the classification of our debt investments, excluding Structured Finance Securities, by credit risk rating as of September 30, 2026 and December 31, 2025 (dollar amounts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Debt Investments as of</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23"/>
        </w:trPr>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6"/>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440" w:type="dxa"/>
            <w:vAlign w:val="bottom"/>
            <w:tcBorders>
              <w:bottom w:val="single" w:sz="8" w:color="auto"/>
            </w:tcBorders>
          </w:tcPr>
          <w:p>
            <w:pPr>
              <w:spacing w:after="0"/>
              <w:rPr>
                <w:sz w:val="19"/>
                <w:szCs w:val="19"/>
                <w:color w:val="auto"/>
              </w:rPr>
            </w:pPr>
          </w:p>
        </w:tc>
      </w:tr>
      <w:tr>
        <w:trPr>
          <w:trHeight w:val="201"/>
        </w:trPr>
        <w:tc>
          <w:tcPr>
            <w:tcW w:w="1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ind w:right="1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 of Debt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jc w:val="center"/>
              <w:ind w:right="190"/>
              <w:spacing w:after="0" w:line="201" w:lineRule="exact"/>
              <w:rPr>
                <w:sz w:val="20"/>
                <w:szCs w:val="20"/>
                <w:color w:val="auto"/>
              </w:rPr>
            </w:pPr>
            <w:r>
              <w:rPr>
                <w:rFonts w:ascii="Times New Roman" w:cs="Times New Roman" w:eastAsia="Times New Roman" w:hAnsi="Times New Roman"/>
                <w:sz w:val="18"/>
                <w:szCs w:val="18"/>
                <w:b w:val="1"/>
                <w:bCs w:val="1"/>
                <w:color w:val="auto"/>
              </w:rPr>
              <w:t>% of Debt</w:t>
            </w:r>
          </w:p>
        </w:tc>
      </w:tr>
      <w:tr>
        <w:trPr>
          <w:trHeight w:val="216"/>
        </w:trPr>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Investments, at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Investments, at</w:t>
            </w:r>
          </w:p>
        </w:tc>
      </w:tr>
      <w:tr>
        <w:trPr>
          <w:trHeight w:val="238"/>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Risk Category</w:t>
            </w:r>
          </w:p>
        </w:tc>
        <w:tc>
          <w:tcPr>
            <w:tcW w:w="12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15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1</w:t>
            </w:r>
          </w:p>
        </w:tc>
        <w:tc>
          <w:tcPr>
            <w:tcW w:w="26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(Low Risk)</w:t>
            </w:r>
          </w:p>
        </w:tc>
        <w:tc>
          <w:tcPr>
            <w:tcW w:w="1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2</w:t>
            </w: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(Below Average Risk)</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3</w:t>
            </w:r>
          </w:p>
        </w:tc>
        <w:tc>
          <w:tcPr>
            <w:tcW w:w="2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79,605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76,816</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131,812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128,363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71.4 %</w:t>
            </w:r>
          </w:p>
        </w:tc>
      </w:tr>
      <w:tr>
        <w:trPr>
          <w:trHeight w:val="230"/>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4</w:t>
            </w: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(Special Mention)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23,012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67,235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44,209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r>
      <w:tr>
        <w:trPr>
          <w:trHeight w:val="229"/>
        </w:trPr>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5</w:t>
            </w:r>
          </w:p>
        </w:tc>
        <w:tc>
          <w:tcPr>
            <w:tcW w:w="2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(Substandard)</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18,196</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11,249</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7,242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0"/>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6</w:t>
            </w: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(Doubtful)</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7</w:t>
            </w:r>
          </w:p>
        </w:tc>
        <w:tc>
          <w:tcPr>
            <w:tcW w:w="2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141,984</w:t>
            </w:r>
          </w:p>
        </w:tc>
        <w:tc>
          <w:tcPr>
            <w:tcW w:w="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111,145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213,160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179,814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763"/>
        </w:trPr>
        <w:tc>
          <w:tcPr>
            <w:tcW w:w="1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-1087755</wp:posOffset>
            </wp:positionV>
            <wp:extent cx="85725" cy="1803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3415665</wp:posOffset>
            </wp:positionH>
            <wp:positionV relativeFrom="paragraph">
              <wp:posOffset>-1087755</wp:posOffset>
            </wp:positionV>
            <wp:extent cx="68580" cy="1803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-1087755</wp:posOffset>
            </wp:positionV>
            <wp:extent cx="77470" cy="1803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5293360</wp:posOffset>
            </wp:positionH>
            <wp:positionV relativeFrom="paragraph">
              <wp:posOffset>-1087755</wp:posOffset>
            </wp:positionV>
            <wp:extent cx="85725" cy="1803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6124575</wp:posOffset>
            </wp:positionH>
            <wp:positionV relativeFrom="paragraph">
              <wp:posOffset>-1087755</wp:posOffset>
            </wp:positionV>
            <wp:extent cx="68580" cy="1803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ectPr>
          <w:pgSz w:w="11920" w:h="16838" w:orient="portrait"/>
          <w:cols w:equalWidth="0" w:num="1">
            <w:col w:w="11260"/>
          </w:cols>
          <w:pgMar w:left="340" w:top="1084" w:right="318" w:bottom="1440" w:gutter="0" w:footer="0" w:header="0"/>
        </w:sectPr>
      </w:pPr>
    </w:p>
    <w:bookmarkStart w:id="53" w:name="page54"/>
    <w:bookmarkEnd w:id="53"/>
    <w:p>
      <w:pPr>
        <w:ind w:left="740"/>
        <w:spacing w:after="0"/>
        <w:rPr>
          <w:sz w:val="20"/>
          <w:szCs w:val="20"/>
          <w:color w:val="auto"/>
        </w:rPr>
      </w:pPr>
      <w:r>
        <w:rPr>
          <w:rFonts w:ascii="Times New Roman" w:cs="Times New Roman" w:eastAsia="Times New Roman" w:hAnsi="Times New Roman"/>
          <w:sz w:val="18"/>
          <w:szCs w:val="18"/>
          <w:b w:val="1"/>
          <w:bCs w:val="1"/>
          <w:color w:val="auto"/>
        </w:rPr>
        <w:t>Non-Accrual Loans</w:t>
      </w:r>
    </w:p>
    <w:p>
      <w:pPr>
        <w:spacing w:after="0" w:line="121" w:lineRule="exact"/>
        <w:rPr>
          <w:sz w:val="20"/>
          <w:szCs w:val="20"/>
          <w:color w:val="auto"/>
        </w:rPr>
      </w:pPr>
    </w:p>
    <w:p>
      <w:pPr>
        <w:ind w:firstLine="751"/>
        <w:spacing w:after="0" w:line="254" w:lineRule="auto"/>
        <w:rPr>
          <w:sz w:val="20"/>
          <w:szCs w:val="20"/>
          <w:color w:val="auto"/>
        </w:rPr>
      </w:pPr>
      <w:r>
        <w:rPr>
          <w:rFonts w:ascii="Times New Roman" w:cs="Times New Roman" w:eastAsia="Times New Roman" w:hAnsi="Times New Roman"/>
          <w:sz w:val="18"/>
          <w:szCs w:val="18"/>
          <w:color w:val="auto"/>
        </w:rPr>
        <w:t>Management reviews, for placement on non-accrual status, all loans and CLO mezzanine debt investments that become past due on principal and interest, and/or when there is reasonable doubt that principal or interest will be collected. When a loan is placed on non-accrual status, accrued and unpaid cash interest is reversed.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appreciation/depreciation, as applicable. Additionally, Net Loan Fees are no longer recognized as of the date the loan is placed on non-accrual status. Depending upon management’s judgment, interest payments subsequently received on non-accrual investments may be recognized as interest income or applied as a reduction to amortized cost. Interest accruals and Net Loan Fee amortization are resumed on non-accrual investments only when they are brought current with respect to principal and interest payments or until a restructuring occurs and, in the judgment of management, it is probable that we will collect all principal and interest from the investment.</w:t>
      </w:r>
    </w:p>
    <w:p>
      <w:pPr>
        <w:spacing w:after="0" w:line="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u w:val="single" w:color="auto"/>
          <w:color w:val="auto"/>
        </w:rPr>
        <w:t>As of September 30, 2026</w:t>
      </w:r>
    </w:p>
    <w:p>
      <w:pPr>
        <w:spacing w:after="0" w:line="11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following table shows the classification of our debt investments on non-accrual status (dollar 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September 30, 2026</w:t>
            </w:r>
          </w:p>
        </w:tc>
      </w:tr>
      <w:tr>
        <w:trPr>
          <w:trHeight w:val="223"/>
        </w:trPr>
        <w:tc>
          <w:tcPr>
            <w:tcW w:w="7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debt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34,945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22,435</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Second lien debt</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6,765</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976</w:t>
            </w:r>
          </w:p>
        </w:tc>
      </w:tr>
      <w:tr>
        <w:trPr>
          <w:trHeight w:val="26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41,710</w:t>
            </w:r>
          </w:p>
        </w:tc>
        <w:tc>
          <w:tcPr>
            <w:tcW w:w="2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23,411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5970270</wp:posOffset>
            </wp:positionH>
            <wp:positionV relativeFrom="paragraph">
              <wp:posOffset>-25400</wp:posOffset>
            </wp:positionV>
            <wp:extent cx="12001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-7620</wp:posOffset>
            </wp:positionV>
            <wp:extent cx="12001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3" w:lineRule="exact"/>
        <w:rPr>
          <w:sz w:val="20"/>
          <w:szCs w:val="20"/>
          <w:color w:val="auto"/>
        </w:rPr>
      </w:pPr>
    </w:p>
    <w:p>
      <w:pPr>
        <w:ind w:right="40" w:firstLine="751"/>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2026, loans to portfolio companies with an aggregate amortized cost and fair value of $6.8 million and $2.1 million, respectively, were placed on non-accrual status. Additionally, during the three months ended September 30, 2026, loans to portfolio companies which had previously been on non-accrual status with an aggregate amortized cost and fair value of $9.1 million and $0.3 million, respectively, were restructured for new debt and equity investments in the portfolio companies. Following the restructuring, the new loan with an amortized cost and fair value of $0.6 million and $0.7 million, respectively, was placed on accrual status.</w:t>
      </w:r>
    </w:p>
    <w:p>
      <w:pPr>
        <w:spacing w:after="0" w:line="7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u w:val="single" w:color="auto"/>
          <w:color w:val="auto"/>
        </w:rPr>
        <w:t>As of December 31, 2025</w:t>
      </w:r>
    </w:p>
    <w:p>
      <w:pPr>
        <w:spacing w:after="0" w:line="11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following table shows the classification of our debt investments on non-accrual status (dollar 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debt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14,326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7,491</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Second lien debt</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22,241</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6,909</w:t>
            </w:r>
          </w:p>
        </w:tc>
      </w:tr>
      <w:tr>
        <w:trPr>
          <w:trHeight w:val="26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36,567</w:t>
            </w:r>
          </w:p>
        </w:tc>
        <w:tc>
          <w:tcPr>
            <w:tcW w:w="2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5970270</wp:posOffset>
            </wp:positionH>
            <wp:positionV relativeFrom="paragraph">
              <wp:posOffset>-25400</wp:posOffset>
            </wp:positionV>
            <wp:extent cx="12001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-8255</wp:posOffset>
            </wp:positionV>
            <wp:extent cx="12001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right="40" w:firstLine="751"/>
        <w:spacing w:after="0" w:line="266" w:lineRule="auto"/>
        <w:rPr>
          <w:sz w:val="20"/>
          <w:szCs w:val="20"/>
          <w:color w:val="auto"/>
        </w:rPr>
      </w:pPr>
      <w:r>
        <w:rPr>
          <w:rFonts w:ascii="Times New Roman" w:cs="Times New Roman" w:eastAsia="Times New Roman" w:hAnsi="Times New Roman"/>
          <w:sz w:val="18"/>
          <w:szCs w:val="18"/>
          <w:color w:val="auto"/>
        </w:rPr>
        <w:t>Our key financial measures are described in “Item 7. Management’s Discussion and Analysis of Financial Condition and Results of Operations— Results of Operations—Key Financial Measures” in our Annual Report on Form 10-K for the year ended December 31, 2025, filed on March 3, 2026. The following is a discussion of the key financial measures that management employs in reviewing the performance of our operations.</w:t>
      </w:r>
    </w:p>
    <w:p>
      <w:pPr>
        <w:spacing w:after="0" w:line="68" w:lineRule="exact"/>
        <w:rPr>
          <w:sz w:val="20"/>
          <w:szCs w:val="20"/>
          <w:color w:val="auto"/>
        </w:rPr>
      </w:pPr>
    </w:p>
    <w:p>
      <w:pPr>
        <w:ind w:right="60" w:firstLine="751"/>
        <w:spacing w:after="0" w:line="258" w:lineRule="auto"/>
        <w:rPr>
          <w:sz w:val="20"/>
          <w:szCs w:val="20"/>
          <w:color w:val="auto"/>
        </w:rPr>
      </w:pPr>
      <w:r>
        <w:rPr>
          <w:rFonts w:ascii="Times New Roman" w:cs="Times New Roman" w:eastAsia="Times New Roman" w:hAnsi="Times New Roman"/>
          <w:sz w:val="18"/>
          <w:szCs w:val="18"/>
          <w:color w:val="auto"/>
        </w:rPr>
        <w:t>We do not believe that our historical operating performance is necessarily indicative of our future results of operations. We are primarily focused on debt investments in middle-market and larger companies in the United States and, to a lesser extent, equity investments, including warrants and other minority equity securities, and Structured Finance Securities. Moreover, as a BDC and a RIC, we are also subject to certain constraints on our operations, including, but not limited to, limitations imposed by the 1940 Act and the Code. For the reasons described above, the results of operations described below may not necessarily be indicative of the results we expect to report in future periods.</w:t>
      </w:r>
    </w:p>
    <w:p>
      <w:pPr>
        <w:spacing w:after="0" w:line="75" w:lineRule="exact"/>
        <w:rPr>
          <w:sz w:val="20"/>
          <w:szCs w:val="20"/>
          <w:color w:val="auto"/>
        </w:rPr>
      </w:pPr>
    </w:p>
    <w:p>
      <w:pPr>
        <w:jc w:val="both"/>
        <w:ind w:right="400" w:firstLine="751"/>
        <w:spacing w:after="0" w:line="266" w:lineRule="auto"/>
        <w:rPr>
          <w:sz w:val="20"/>
          <w:szCs w:val="20"/>
          <w:color w:val="auto"/>
        </w:rPr>
      </w:pPr>
      <w:r>
        <w:rPr>
          <w:rFonts w:ascii="Times New Roman" w:cs="Times New Roman" w:eastAsia="Times New Roman" w:hAnsi="Times New Roman"/>
          <w:sz w:val="18"/>
          <w:szCs w:val="18"/>
          <w:color w:val="auto"/>
        </w:rPr>
        <w:t>Net increase (decrease) in net assets resulting from operations can vary substantially from period to period for various reasons, including the recognition of realized gains and losses and unrealized appreciation and depreciation. As a result, annual comparisons of net increase (decrease) in net assets resulting from operations may not be meaningful.</w:t>
      </w:r>
    </w:p>
    <w:p>
      <w:pPr>
        <w:spacing w:after="0" w:line="68" w:lineRule="exact"/>
        <w:rPr>
          <w:sz w:val="20"/>
          <w:szCs w:val="20"/>
          <w:color w:val="auto"/>
        </w:rPr>
      </w:pPr>
    </w:p>
    <w:p>
      <w:pPr>
        <w:ind w:right="220" w:firstLine="751"/>
        <w:spacing w:after="0" w:line="261" w:lineRule="auto"/>
        <w:rPr>
          <w:sz w:val="20"/>
          <w:szCs w:val="20"/>
          <w:color w:val="auto"/>
        </w:rPr>
      </w:pPr>
      <w:r>
        <w:rPr>
          <w:rFonts w:ascii="Times New Roman" w:cs="Times New Roman" w:eastAsia="Times New Roman" w:hAnsi="Times New Roman"/>
          <w:sz w:val="18"/>
          <w:szCs w:val="18"/>
          <w:color w:val="auto"/>
        </w:rPr>
        <w:t>The following analysis compares our quarterly results of operations to the preceding quarter, as well as our year-to-date results of operations to the corresponding period in the prior year. We believe a comparison of our current quarterly results to the preceding quarter is more meaningful and transparent than a comparison to the corresponding prior-year quarter as our results of operations are not influenced by seasonal factors that the latter comparison is designed to elicit and highlight.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976" w:right="318" w:bottom="1440" w:gutter="0" w:footer="0" w:header="0"/>
        </w:sectPr>
      </w:pPr>
    </w:p>
    <w:bookmarkStart w:id="54" w:name="page55"/>
    <w:bookmarkEnd w:id="54"/>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2026 and June 30, 2026 and comparison of the nine months ended September 30,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and 2025</w:t>
      </w:r>
    </w:p>
    <w:p>
      <w:pPr>
        <w:spacing w:after="0" w:line="99" w:lineRule="exact"/>
        <w:rPr>
          <w:sz w:val="20"/>
          <w:szCs w:val="20"/>
          <w:color w:val="auto"/>
        </w:rPr>
      </w:pPr>
    </w:p>
    <w:p>
      <w:pPr>
        <w:ind w:firstLine="751"/>
        <w:spacing w:after="0" w:line="282" w:lineRule="auto"/>
        <w:rPr>
          <w:sz w:val="20"/>
          <w:szCs w:val="20"/>
          <w:color w:val="auto"/>
        </w:rPr>
      </w:pPr>
      <w:r>
        <w:rPr>
          <w:rFonts w:ascii="Times New Roman" w:cs="Times New Roman" w:eastAsia="Times New Roman" w:hAnsi="Times New Roman"/>
          <w:sz w:val="18"/>
          <w:szCs w:val="18"/>
          <w:color w:val="auto"/>
        </w:rPr>
        <w:t>Consolidated operating results for the three months ended September 30, 2026 and June 30, 2026, and the nine months ended September 30, 2026 and 2025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01"/>
        </w:trPr>
        <w:tc>
          <w:tcPr>
            <w:tcW w:w="5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right"/>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50"/>
              <w:spacing w:after="0" w:line="201"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right"/>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5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7"/>
                <w:szCs w:val="17"/>
                <w:color w:val="auto"/>
              </w:rPr>
            </w:pPr>
          </w:p>
        </w:tc>
      </w:tr>
      <w:tr>
        <w:trPr>
          <w:trHeight w:val="238"/>
        </w:trPr>
        <w:tc>
          <w:tcPr>
            <w:tcW w:w="5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2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interest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12,029</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18,504</w:t>
            </w:r>
          </w:p>
        </w:tc>
        <w:tc>
          <w:tcPr>
            <w:tcW w:w="100" w:type="dxa"/>
            <w:vAlign w:val="bottom"/>
            <w:shd w:val="clear" w:color="auto" w:fill="CFF0FC"/>
          </w:tcPr>
          <w:p>
            <w:pPr>
              <w:spacing w:after="0"/>
              <w:rPr>
                <w:sz w:val="19"/>
                <w:szCs w:val="19"/>
                <w:color w:val="auto"/>
              </w:rPr>
            </w:pPr>
          </w:p>
        </w:tc>
      </w:tr>
      <w:tr>
        <w:trPr>
          <w:trHeight w:val="229"/>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PIK interest income</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Pr>
          <w:p>
            <w:pPr>
              <w:spacing w:after="0"/>
              <w:rPr>
                <w:sz w:val="19"/>
                <w:szCs w:val="19"/>
                <w:color w:val="auto"/>
              </w:rPr>
            </w:pPr>
          </w:p>
        </w:tc>
      </w:tr>
      <w:tr>
        <w:trPr>
          <w:trHeight w:val="229"/>
        </w:trPr>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Loan Fee amortization</w:t>
            </w: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FF0FC"/>
          </w:tcPr>
          <w:p>
            <w:pPr>
              <w:spacing w:after="0"/>
              <w:rPr>
                <w:sz w:val="19"/>
                <w:szCs w:val="19"/>
                <w:color w:val="auto"/>
              </w:rPr>
            </w:pPr>
          </w:p>
        </w:tc>
      </w:tr>
      <w:tr>
        <w:trPr>
          <w:trHeight w:val="230"/>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Accretion of interest income on CLO subordinated notes</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100" w:type="dxa"/>
            <w:vAlign w:val="bottom"/>
          </w:tcPr>
          <w:p>
            <w:pPr>
              <w:spacing w:after="0"/>
              <w:rPr>
                <w:sz w:val="19"/>
                <w:szCs w:val="19"/>
                <w:color w:val="auto"/>
              </w:rPr>
            </w:pPr>
          </w:p>
        </w:tc>
      </w:tr>
      <w:tr>
        <w:trPr>
          <w:trHeight w:val="229"/>
        </w:trPr>
        <w:tc>
          <w:tcPr>
            <w:tcW w:w="5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interest income</w:t>
            </w: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income</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29,531</w:t>
            </w:r>
          </w:p>
        </w:tc>
        <w:tc>
          <w:tcPr>
            <w:tcW w:w="100" w:type="dxa"/>
            <w:vAlign w:val="bottom"/>
          </w:tcPr>
          <w:p>
            <w:pPr>
              <w:spacing w:after="0"/>
              <w:rPr>
                <w:sz w:val="19"/>
                <w:szCs w:val="19"/>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dividends</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9"/>
                <w:szCs w:val="19"/>
                <w:color w:val="auto"/>
              </w:rPr>
            </w:pPr>
          </w:p>
        </w:tc>
      </w:tr>
      <w:tr>
        <w:trPr>
          <w:trHeight w:val="230"/>
        </w:trPr>
        <w:tc>
          <w:tcPr>
            <w:tcW w:w="5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PIK dividends</w:t>
            </w: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dividend income</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Fee income:</w:t>
            </w: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Syndication fees</w:t>
            </w:r>
          </w:p>
        </w:tc>
        <w:tc>
          <w:tcPr>
            <w:tcW w:w="1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r>
      <w:tr>
        <w:trPr>
          <w:trHeight w:val="229"/>
        </w:trPr>
        <w:tc>
          <w:tcPr>
            <w:tcW w:w="5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Prepayment and other fees</w:t>
            </w: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fee income</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9"/>
                <w:szCs w:val="19"/>
                <w:color w:val="auto"/>
              </w:rPr>
            </w:pPr>
          </w:p>
        </w:tc>
      </w:tr>
      <w:tr>
        <w:trPr>
          <w:trHeight w:val="223"/>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6,837</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expenses, net of base management fee waiver</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21,634</w:t>
            </w:r>
          </w:p>
        </w:tc>
        <w:tc>
          <w:tcPr>
            <w:tcW w:w="100" w:type="dxa"/>
            <w:vAlign w:val="bottom"/>
          </w:tcPr>
          <w:p>
            <w:pPr>
              <w:spacing w:after="0"/>
              <w:rPr>
                <w:sz w:val="19"/>
                <w:szCs w:val="19"/>
                <w:color w:val="auto"/>
              </w:rPr>
            </w:pPr>
          </w:p>
        </w:tc>
      </w:tr>
      <w:tr>
        <w:trPr>
          <w:trHeight w:val="223"/>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gain (loss) on investments</w:t>
            </w:r>
          </w:p>
        </w:tc>
        <w:tc>
          <w:tcPr>
            <w:tcW w:w="1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(21,277)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(31,441)</w:t>
            </w:r>
          </w:p>
        </w:tc>
      </w:tr>
      <w:tr>
        <w:trPr>
          <w:trHeight w:val="223"/>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net assets resulting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(11,505)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(17,526)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(22,245)</w:t>
            </w:r>
          </w:p>
        </w:tc>
      </w:tr>
      <w:tr>
        <w:trPr>
          <w:trHeight w:val="20"/>
        </w:trPr>
        <w:tc>
          <w:tcPr>
            <w:tcW w:w="5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-2279650</wp:posOffset>
            </wp:positionV>
            <wp:extent cx="77470" cy="1543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-2279650</wp:posOffset>
            </wp:positionV>
            <wp:extent cx="76835" cy="1543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6082030</wp:posOffset>
            </wp:positionH>
            <wp:positionV relativeFrom="paragraph">
              <wp:posOffset>-2279650</wp:posOffset>
            </wp:positionV>
            <wp:extent cx="68580" cy="1543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-2279650</wp:posOffset>
            </wp:positionV>
            <wp:extent cx="68580" cy="1543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-1696720</wp:posOffset>
            </wp:positionV>
            <wp:extent cx="77470" cy="1543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-1696720</wp:posOffset>
            </wp:positionV>
            <wp:extent cx="76835" cy="1543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6082030</wp:posOffset>
            </wp:positionH>
            <wp:positionV relativeFrom="paragraph">
              <wp:posOffset>-1696720</wp:posOffset>
            </wp:positionV>
            <wp:extent cx="68580" cy="1543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-1696720</wp:posOffset>
            </wp:positionV>
            <wp:extent cx="68580" cy="1543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-1105535</wp:posOffset>
            </wp:positionV>
            <wp:extent cx="77470" cy="16319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-1105535</wp:posOffset>
            </wp:positionV>
            <wp:extent cx="76835" cy="1631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6082030</wp:posOffset>
            </wp:positionH>
            <wp:positionV relativeFrom="paragraph">
              <wp:posOffset>-1105535</wp:posOffset>
            </wp:positionV>
            <wp:extent cx="68580" cy="16319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-1105535</wp:posOffset>
            </wp:positionV>
            <wp:extent cx="68580" cy="16319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-796290</wp:posOffset>
            </wp:positionV>
            <wp:extent cx="77470" cy="16319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-796290</wp:posOffset>
            </wp:positionV>
            <wp:extent cx="76835" cy="16319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6082030</wp:posOffset>
            </wp:positionH>
            <wp:positionV relativeFrom="paragraph">
              <wp:posOffset>-796290</wp:posOffset>
            </wp:positionV>
            <wp:extent cx="68580" cy="16319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-796290</wp:posOffset>
            </wp:positionV>
            <wp:extent cx="68580" cy="16319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-487680</wp:posOffset>
            </wp:positionV>
            <wp:extent cx="76835" cy="1625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-179070</wp:posOffset>
            </wp:positionV>
            <wp:extent cx="76835" cy="1797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6835" cy="179705"/>
                    </a:xfrm>
                    <a:prstGeom prst="rect">
                      <a:avLst/>
                    </a:prstGeom>
                    <a:noFill/>
                  </pic:spPr>
                </pic:pic>
              </a:graphicData>
            </a:graphic>
          </wp:anchor>
        </w:drawing>
      </w:r>
    </w:p>
    <w:p>
      <w:pPr>
        <w:spacing w:after="0" w:line="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1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September 30, 2026 and June 30, 2026</w:t>
      </w:r>
    </w:p>
    <w:p>
      <w:pPr>
        <w:spacing w:after="0" w:line="119" w:lineRule="exact"/>
        <w:rPr>
          <w:sz w:val="20"/>
          <w:szCs w:val="20"/>
          <w:color w:val="auto"/>
        </w:rPr>
      </w:pPr>
    </w:p>
    <w:p>
      <w:pPr>
        <w:ind w:right="620" w:firstLine="751"/>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2026, total investment income decreased from $6.8 million in the prior quarter to $5.9 million, primarily due to a decrease in interest income of $1.1 million, partially offset by an increase in non-recurring fee income of $0.2 million.</w:t>
      </w:r>
    </w:p>
    <w:p>
      <w:pPr>
        <w:spacing w:after="0" w:line="54" w:lineRule="exact"/>
        <w:rPr>
          <w:sz w:val="20"/>
          <w:szCs w:val="20"/>
          <w:color w:val="auto"/>
        </w:rPr>
      </w:pPr>
    </w:p>
    <w:p>
      <w:pPr>
        <w:ind w:right="220" w:firstLine="751"/>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interest income decreased by $1.1 million compared to the prior quarter, primarily due to a smaller average debt investment portfolio, at cost, the placement of loans to portfolio companies on non-accrual status, and lower CLO subordinated note interest income.</w:t>
      </w:r>
    </w:p>
    <w:p>
      <w:pPr>
        <w:spacing w:after="0" w:line="68" w:lineRule="exact"/>
        <w:rPr>
          <w:sz w:val="20"/>
          <w:szCs w:val="20"/>
          <w:color w:val="auto"/>
        </w:rPr>
      </w:pPr>
    </w:p>
    <w:p>
      <w:pPr>
        <w:ind w:right="20" w:firstLine="751"/>
        <w:spacing w:after="0" w:line="261" w:lineRule="auto"/>
        <w:rPr>
          <w:sz w:val="20"/>
          <w:szCs w:val="20"/>
          <w:color w:val="auto"/>
        </w:rPr>
      </w:pPr>
      <w:r>
        <w:rPr>
          <w:rFonts w:ascii="Times New Roman" w:cs="Times New Roman" w:eastAsia="Times New Roman" w:hAnsi="Times New Roman"/>
          <w:sz w:val="18"/>
          <w:szCs w:val="18"/>
          <w:color w:val="auto"/>
        </w:rPr>
        <w:t>Fee income is primarily comprised of unused fees, prepayment fees and syndication fees that generally result from periodic transactions rather than from holding portfolio investments, and are considered non-recurring. We receive syndication fees on investments where OFS Advisor sources, structures and arranges the lending group. For the three months ended September 30, 2026, total fee income increased by $0.2 million compared to the prior quarter, primarily due to an increase in prepayment fees related to the full repayment of certain debt investments.</w:t>
      </w:r>
    </w:p>
    <w:p>
      <w:pPr>
        <w:spacing w:after="0" w:line="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Comparison of the nine months ended September 30, 2026 and 2025</w:t>
      </w:r>
    </w:p>
    <w:p>
      <w:pPr>
        <w:spacing w:after="0" w:line="119" w:lineRule="exact"/>
        <w:rPr>
          <w:sz w:val="20"/>
          <w:szCs w:val="20"/>
          <w:color w:val="auto"/>
        </w:rPr>
      </w:pPr>
    </w:p>
    <w:p>
      <w:pPr>
        <w:ind w:firstLine="751"/>
        <w:spacing w:after="0" w:line="261" w:lineRule="auto"/>
        <w:rPr>
          <w:sz w:val="20"/>
          <w:szCs w:val="20"/>
          <w:color w:val="auto"/>
        </w:rPr>
      </w:pPr>
      <w:r>
        <w:rPr>
          <w:rFonts w:ascii="Times New Roman" w:cs="Times New Roman" w:eastAsia="Times New Roman" w:hAnsi="Times New Roman"/>
          <w:sz w:val="18"/>
          <w:szCs w:val="18"/>
          <w:color w:val="auto"/>
        </w:rPr>
        <w:t>Total investment income for the nine months ended September 30, 2026 decreased $9.6 million compared to the corresponding period in the prior year, primarily due to a decrease in total interest income of $10.3 million, partially offset by an increase in total dividend income of $0.7 million. The decrease in total interest income was primarily due to the combination of a smaller interest-bearing portfolio, lower SOFR rates, and the impact of non-accrual investments.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4" w:right="318" w:bottom="1440" w:gutter="0" w:footer="0" w:header="0"/>
        </w:sectPr>
      </w:pPr>
    </w:p>
    <w:bookmarkStart w:id="55" w:name="page56"/>
    <w:bookmarkEnd w:id="55"/>
    <w:p>
      <w:pPr>
        <w:ind w:left="74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right="60" w:firstLine="751"/>
        <w:spacing w:after="0" w:line="282" w:lineRule="auto"/>
        <w:rPr>
          <w:sz w:val="20"/>
          <w:szCs w:val="20"/>
          <w:color w:val="auto"/>
        </w:rPr>
      </w:pPr>
      <w:r>
        <w:rPr>
          <w:rFonts w:ascii="Times New Roman" w:cs="Times New Roman" w:eastAsia="Times New Roman" w:hAnsi="Times New Roman"/>
          <w:sz w:val="18"/>
          <w:szCs w:val="18"/>
          <w:color w:val="auto"/>
        </w:rPr>
        <w:t>Operating expenses for the three months ended September 30, 2026 and June 30, 2026, and the nine months ended September 30, 2026 and 2025 are presented below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20"/>
                <w:szCs w:val="20"/>
                <w:color w:val="auto"/>
              </w:rPr>
            </w:pPr>
          </w:p>
        </w:tc>
      </w:tr>
      <w:tr>
        <w:trPr>
          <w:trHeight w:val="201"/>
        </w:trPr>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420"/>
              <w:spacing w:after="0" w:line="201"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right"/>
              <w:ind w:right="3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7"/>
                <w:szCs w:val="17"/>
                <w:color w:val="auto"/>
              </w:rPr>
            </w:pPr>
          </w:p>
        </w:tc>
        <w:tc>
          <w:tcPr>
            <w:tcW w:w="1200" w:type="dxa"/>
            <w:vAlign w:val="bottom"/>
          </w:tcPr>
          <w:p>
            <w:pPr>
              <w:jc w:val="right"/>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6"/>
              </w:rPr>
              <w:t>September 30,</w:t>
            </w:r>
          </w:p>
        </w:tc>
        <w:tc>
          <w:tcPr>
            <w:tcW w:w="100" w:type="dxa"/>
            <w:vAlign w:val="bottom"/>
          </w:tcPr>
          <w:p>
            <w:pPr>
              <w:spacing w:after="0"/>
              <w:rPr>
                <w:sz w:val="17"/>
                <w:szCs w:val="17"/>
                <w:color w:val="auto"/>
              </w:rPr>
            </w:pPr>
          </w:p>
        </w:tc>
      </w:tr>
      <w:tr>
        <w:trPr>
          <w:trHeight w:val="238"/>
        </w:trPr>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8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220" w:type="dxa"/>
            <w:vAlign w:val="bottom"/>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260" w:type="dxa"/>
            <w:vAlign w:val="bottom"/>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24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Base management fee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Incentive Fee</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Administration fee</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r>
      <w:tr>
        <w:trPr>
          <w:trHeight w:val="223"/>
        </w:trPr>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expenses before base management fee waiver</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21,634</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Base management fee waiver</w:t>
            </w:r>
          </w:p>
        </w:tc>
        <w:tc>
          <w:tcPr>
            <w:tcW w:w="1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w:t>
            </w:r>
          </w:p>
        </w:tc>
        <w:tc>
          <w:tcPr>
            <w:tcW w:w="6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49"/>
        </w:trPr>
        <w:tc>
          <w:tcPr>
            <w:tcW w:w="52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expenses, net of base management fee waiver</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2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2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17,488</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4272915</wp:posOffset>
            </wp:positionH>
            <wp:positionV relativeFrom="paragraph">
              <wp:posOffset>-25400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4272915</wp:posOffset>
            </wp:positionH>
            <wp:positionV relativeFrom="paragraph">
              <wp:posOffset>-8255</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5104765</wp:posOffset>
            </wp:positionH>
            <wp:positionV relativeFrom="paragraph">
              <wp:posOffset>-25400</wp:posOffset>
            </wp:positionV>
            <wp:extent cx="7747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5104765</wp:posOffset>
            </wp:positionH>
            <wp:positionV relativeFrom="paragraph">
              <wp:posOffset>-8255</wp:posOffset>
            </wp:positionV>
            <wp:extent cx="7747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6107430</wp:posOffset>
            </wp:positionH>
            <wp:positionV relativeFrom="paragraph">
              <wp:posOffset>-25400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6107430</wp:posOffset>
            </wp:positionH>
            <wp:positionV relativeFrom="paragraph">
              <wp:posOffset>-8255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-25400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-8255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September 30, 2026 and June 30, 2026</w:t>
      </w:r>
    </w:p>
    <w:p>
      <w:pPr>
        <w:spacing w:after="0" w:line="119" w:lineRule="exact"/>
        <w:rPr>
          <w:sz w:val="20"/>
          <w:szCs w:val="20"/>
          <w:color w:val="auto"/>
        </w:rPr>
      </w:pPr>
    </w:p>
    <w:p>
      <w:pPr>
        <w:jc w:val="both"/>
        <w:ind w:right="20" w:firstLine="751"/>
        <w:spacing w:after="0" w:line="266"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2026 decreased $0.6 million compared to the prior quarter, primarily due to a decrease of $37.2 million in our average outstanding debt balances compared to the prior quarter. During the quarter ended September 30, 2026, we redeemed $20.0 million of our 7.50% Unsecured Notes Due July 2028 and reduced the outstanding balance of our Natixis Facility by $11.4 million.</w:t>
      </w:r>
    </w:p>
    <w:p>
      <w:pPr>
        <w:spacing w:after="0" w:line="68" w:lineRule="exact"/>
        <w:rPr>
          <w:sz w:val="20"/>
          <w:szCs w:val="20"/>
          <w:color w:val="auto"/>
        </w:rPr>
      </w:pPr>
    </w:p>
    <w:p>
      <w:pPr>
        <w:ind w:right="260" w:firstLine="751"/>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2026, the base management fee waiver of $0.2 million was due to the waiver by OFS Advisor of its base management fee attributable to all of the OFSCC-FS Assets to 0.25% per quarter (1.00% annualized) of the average value of the OFSCC-FS Assets (other than cash and cash equivalents, but including assets purchased with borrowed amounts) at the end of the two most recently completed calendar quarters.</w:t>
      </w:r>
    </w:p>
    <w:p>
      <w:pPr>
        <w:spacing w:after="0" w:line="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Comparison of the nine months ended September 30, 2026 and 2025</w:t>
      </w:r>
    </w:p>
    <w:p>
      <w:pPr>
        <w:spacing w:after="0" w:line="119" w:lineRule="exact"/>
        <w:rPr>
          <w:sz w:val="20"/>
          <w:szCs w:val="20"/>
          <w:color w:val="auto"/>
        </w:rPr>
      </w:pPr>
    </w:p>
    <w:p>
      <w:pPr>
        <w:ind w:right="140" w:firstLine="751"/>
        <w:spacing w:after="0" w:line="282" w:lineRule="auto"/>
        <w:rPr>
          <w:sz w:val="20"/>
          <w:szCs w:val="20"/>
          <w:color w:val="auto"/>
        </w:rPr>
      </w:pPr>
      <w:r>
        <w:rPr>
          <w:rFonts w:ascii="Times New Roman" w:cs="Times New Roman" w:eastAsia="Times New Roman" w:hAnsi="Times New Roman"/>
          <w:sz w:val="18"/>
          <w:szCs w:val="18"/>
          <w:color w:val="auto"/>
        </w:rPr>
        <w:t>Total expenses, net of the base management fee waivers, for the nine months ended September 30, 2026 decreased $4.1 million compared to the corresponding period in the prior year.</w:t>
      </w:r>
    </w:p>
    <w:p>
      <w:pPr>
        <w:spacing w:after="0" w:line="54" w:lineRule="exact"/>
        <w:rPr>
          <w:sz w:val="20"/>
          <w:szCs w:val="20"/>
          <w:color w:val="auto"/>
        </w:rPr>
      </w:pPr>
    </w:p>
    <w:p>
      <w:pPr>
        <w:ind w:right="240" w:firstLine="751"/>
        <w:spacing w:after="0" w:line="282" w:lineRule="auto"/>
        <w:rPr>
          <w:sz w:val="20"/>
          <w:szCs w:val="20"/>
          <w:color w:val="auto"/>
        </w:rPr>
      </w:pPr>
      <w:r>
        <w:rPr>
          <w:rFonts w:ascii="Times New Roman" w:cs="Times New Roman" w:eastAsia="Times New Roman" w:hAnsi="Times New Roman"/>
          <w:sz w:val="18"/>
          <w:szCs w:val="18"/>
          <w:color w:val="auto"/>
        </w:rPr>
        <w:t>Interest expense for the nine months ended September 30, 2026 decreased $1.4 million compared to the corresponding period in the prior year, primarily due to a lower outstanding debt balance, partially offset by a higher cost of financing.</w:t>
      </w:r>
    </w:p>
    <w:p>
      <w:pPr>
        <w:spacing w:after="0" w:line="54" w:lineRule="exact"/>
        <w:rPr>
          <w:sz w:val="20"/>
          <w:szCs w:val="20"/>
          <w:color w:val="auto"/>
        </w:rPr>
      </w:pPr>
    </w:p>
    <w:p>
      <w:pPr>
        <w:ind w:right="880" w:firstLine="751"/>
        <w:spacing w:after="0" w:line="282" w:lineRule="auto"/>
        <w:rPr>
          <w:sz w:val="20"/>
          <w:szCs w:val="20"/>
          <w:color w:val="auto"/>
        </w:rPr>
      </w:pPr>
      <w:r>
        <w:rPr>
          <w:rFonts w:ascii="Times New Roman" w:cs="Times New Roman" w:eastAsia="Times New Roman" w:hAnsi="Times New Roman"/>
          <w:sz w:val="18"/>
          <w:szCs w:val="18"/>
          <w:color w:val="auto"/>
        </w:rPr>
        <w:t>Base management fees, net of the fee waivers, for the nine months ended September 30, 2026 decreased $1.0 million compared to the corresponding period in the prior year, primarily due to a decrease in our total investment portfolio, at fair value.</w:t>
      </w:r>
    </w:p>
    <w:p>
      <w:pPr>
        <w:spacing w:after="0" w:line="54" w:lineRule="exact"/>
        <w:rPr>
          <w:sz w:val="20"/>
          <w:szCs w:val="20"/>
          <w:color w:val="auto"/>
        </w:rPr>
      </w:pPr>
    </w:p>
    <w:p>
      <w:pPr>
        <w:ind w:right="160" w:firstLine="751"/>
        <w:spacing w:after="0" w:line="282" w:lineRule="auto"/>
        <w:rPr>
          <w:sz w:val="20"/>
          <w:szCs w:val="20"/>
          <w:color w:val="auto"/>
        </w:rPr>
      </w:pPr>
      <w:r>
        <w:rPr>
          <w:rFonts w:ascii="Times New Roman" w:cs="Times New Roman" w:eastAsia="Times New Roman" w:hAnsi="Times New Roman"/>
          <w:sz w:val="18"/>
          <w:szCs w:val="18"/>
          <w:color w:val="auto"/>
        </w:rPr>
        <w:t>Income Incentive Fees for the nine months ended September 30, 2026 decreased $1.4 million compared to the corresponding period in the prior year, primarily due to a decrease in our net investment income of $5.5 million.</w:t>
      </w:r>
    </w:p>
    <w:p>
      <w:pPr>
        <w:spacing w:after="0" w:line="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Net realized and unrealized gain (loss) on investments</w:t>
      </w:r>
    </w:p>
    <w:p>
      <w:pPr>
        <w:spacing w:after="0" w:line="121" w:lineRule="exact"/>
        <w:rPr>
          <w:sz w:val="20"/>
          <w:szCs w:val="20"/>
          <w:color w:val="auto"/>
        </w:rPr>
      </w:pPr>
    </w:p>
    <w:p>
      <w:pPr>
        <w:ind w:right="260" w:firstLine="751"/>
        <w:spacing w:after="0" w:line="266" w:lineRule="auto"/>
        <w:rPr>
          <w:sz w:val="20"/>
          <w:szCs w:val="20"/>
          <w:color w:val="auto"/>
        </w:rPr>
      </w:pPr>
      <w:r>
        <w:rPr>
          <w:rFonts w:ascii="Times New Roman" w:cs="Times New Roman" w:eastAsia="Times New Roman" w:hAnsi="Times New Roman"/>
          <w:sz w:val="18"/>
          <w:szCs w:val="18"/>
          <w:color w:val="auto"/>
        </w:rPr>
        <w:t>Net gain (loss) on investments, inclusive of realized and unrealized gains (losses), and net of current and deferred income taxes, by investment type for the three months ended September 30, 2026 and June 30, 2026, and the nine months ended September 30, 2026 and 2025 were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4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4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4560" w:type="dxa"/>
            <w:vAlign w:val="bottom"/>
          </w:tcPr>
          <w:p>
            <w:pPr>
              <w:spacing w:after="0"/>
              <w:rPr>
                <w:sz w:val="20"/>
                <w:szCs w:val="20"/>
                <w:color w:val="auto"/>
              </w:rPr>
            </w:pPr>
          </w:p>
        </w:tc>
        <w:tc>
          <w:tcPr>
            <w:tcW w:w="18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4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12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1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2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investments</w:t>
            </w:r>
          </w:p>
        </w:tc>
        <w:tc>
          <w:tcPr>
            <w:tcW w:w="380" w:type="dxa"/>
            <w:vAlign w:val="bottom"/>
            <w:tcBorders>
              <w:top w:val="single" w:sz="8" w:color="auto"/>
            </w:tcBorders>
            <w:shd w:val="clear" w:color="auto" w:fill="CFF0FC"/>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40" w:type="dxa"/>
            <w:vAlign w:val="bottom"/>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26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260" w:type="dxa"/>
            <w:vAlign w:val="bottom"/>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100" w:type="dxa"/>
            <w:vAlign w:val="bottom"/>
            <w:shd w:val="clear" w:color="auto" w:fill="CFF0FC"/>
          </w:tcPr>
          <w:p>
            <w:pPr>
              <w:spacing w:after="0"/>
              <w:rPr>
                <w:sz w:val="19"/>
                <w:szCs w:val="19"/>
                <w:color w:val="auto"/>
              </w:rPr>
            </w:pP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3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(12,115)</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(16,822)</w:t>
            </w:r>
          </w:p>
        </w:tc>
      </w:tr>
      <w:tr>
        <w:trPr>
          <w:trHeight w:val="22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3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(3,622)</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(5,901)</w:t>
            </w: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(19,866)</w:t>
            </w:r>
          </w:p>
        </w:tc>
        <w:tc>
          <w:tcPr>
            <w:tcW w:w="9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(7,415)</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Current/deferred income tax expense</w:t>
            </w:r>
          </w:p>
        </w:tc>
        <w:tc>
          <w:tcPr>
            <w:tcW w:w="3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w:t>
            </w:r>
          </w:p>
        </w:tc>
        <w:tc>
          <w:tcPr>
            <w:tcW w:w="5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(497)</w:t>
            </w:r>
          </w:p>
        </w:tc>
        <w:tc>
          <w:tcPr>
            <w:tcW w:w="9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r>
        <w:trPr>
          <w:trHeight w:val="263"/>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gain (loss) on investments</w:t>
            </w:r>
          </w:p>
        </w:tc>
        <w:tc>
          <w:tcPr>
            <w:tcW w:w="380" w:type="dxa"/>
            <w:vAlign w:val="bottom"/>
            <w:tcBorders>
              <w:top w:val="single" w:sz="8" w:color="auto"/>
              <w:bottom w:val="single" w:sz="8" w:color="auto"/>
            </w:tcBorders>
            <w:shd w:val="clear" w:color="auto" w:fill="CFF0FC"/>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24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top w:val="single" w:sz="8" w:color="auto"/>
              <w:bottom w:val="single" w:sz="8" w:color="auto"/>
            </w:tcBorders>
            <w:shd w:val="clear" w:color="auto" w:fill="CFF0FC"/>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(21,277)</w:t>
            </w:r>
          </w:p>
        </w:tc>
        <w:tc>
          <w:tcPr>
            <w:tcW w:w="26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top w:val="single" w:sz="8" w:color="auto"/>
              <w:bottom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(31,441)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-25400</wp:posOffset>
            </wp:positionV>
            <wp:extent cx="7683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-8255</wp:posOffset>
            </wp:positionV>
            <wp:extent cx="7683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4813300</wp:posOffset>
            </wp:positionH>
            <wp:positionV relativeFrom="paragraph">
              <wp:posOffset>-25400</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4813300</wp:posOffset>
            </wp:positionH>
            <wp:positionV relativeFrom="paragraph">
              <wp:posOffset>-8255</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5867400</wp:posOffset>
            </wp:positionH>
            <wp:positionV relativeFrom="paragraph">
              <wp:posOffset>-25400</wp:posOffset>
            </wp:positionV>
            <wp:extent cx="7683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5867400</wp:posOffset>
            </wp:positionH>
            <wp:positionV relativeFrom="paragraph">
              <wp:posOffset>-8255</wp:posOffset>
            </wp:positionV>
            <wp:extent cx="7683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-25400</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-8255</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680" w:firstLine="751"/>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2026, unrealized depreciation of $8.4 million and $8.4 million, respectively, was reclassified from debt investments to equity investments related to a debt-to-equity restructuring.</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4" w:right="318" w:bottom="1440" w:gutter="0" w:footer="0" w:header="0"/>
        </w:sectPr>
      </w:pPr>
    </w:p>
    <w:bookmarkStart w:id="56" w:name="page57"/>
    <w:bookmarkEnd w:id="56"/>
    <w:p>
      <w:pPr>
        <w:ind w:left="740" w:right="3500"/>
        <w:spacing w:after="0" w:line="375" w:lineRule="auto"/>
        <w:rPr>
          <w:sz w:val="20"/>
          <w:szCs w:val="20"/>
          <w:color w:val="auto"/>
        </w:rPr>
      </w:pPr>
      <w:r>
        <w:rPr>
          <w:rFonts w:ascii="Times New Roman" w:cs="Times New Roman" w:eastAsia="Times New Roman" w:hAnsi="Times New Roman"/>
          <w:sz w:val="18"/>
          <w:szCs w:val="18"/>
          <w:u w:val="single" w:color="auto"/>
          <w:color w:val="auto"/>
        </w:rPr>
        <w:t xml:space="preserve">Net gain (loss) on investments for the three months ended September 30, 2026 and June 30, 2026 </w:t>
      </w:r>
      <w:r>
        <w:rPr>
          <w:rFonts w:ascii="Times New Roman" w:cs="Times New Roman" w:eastAsia="Times New Roman" w:hAnsi="Times New Roman"/>
          <w:sz w:val="18"/>
          <w:szCs w:val="18"/>
          <w:i w:val="1"/>
          <w:iCs w:val="1"/>
          <w:color w:val="auto"/>
        </w:rPr>
        <w:t>Three months ended September 30, 2026</w:t>
      </w:r>
    </w:p>
    <w:p>
      <w:pPr>
        <w:spacing w:after="0" w:line="1" w:lineRule="exact"/>
        <w:rPr>
          <w:sz w:val="20"/>
          <w:szCs w:val="20"/>
          <w:color w:val="auto"/>
        </w:rPr>
      </w:pPr>
    </w:p>
    <w:p>
      <w:pPr>
        <w:ind w:right="500" w:firstLine="751"/>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2026, we recognized a net loss on investments of $11.9 million due to a net realized loss of $7.8 million and net unrealized depreciation, net of taxes, of $4.1 million.</w:t>
      </w:r>
    </w:p>
    <w:p>
      <w:pPr>
        <w:spacing w:after="0" w:line="54" w:lineRule="exact"/>
        <w:rPr>
          <w:sz w:val="20"/>
          <w:szCs w:val="20"/>
          <w:color w:val="auto"/>
        </w:rPr>
      </w:pPr>
    </w:p>
    <w:p>
      <w:pPr>
        <w:ind w:right="340" w:firstLine="751"/>
        <w:spacing w:after="0" w:line="312" w:lineRule="auto"/>
        <w:rPr>
          <w:sz w:val="20"/>
          <w:szCs w:val="20"/>
          <w:color w:val="auto"/>
        </w:rPr>
      </w:pPr>
      <w:r>
        <w:rPr>
          <w:rFonts w:ascii="Times New Roman" w:cs="Times New Roman" w:eastAsia="Times New Roman" w:hAnsi="Times New Roman"/>
          <w:sz w:val="17"/>
          <w:szCs w:val="17"/>
          <w:color w:val="auto"/>
        </w:rPr>
        <w:t>For the quarter ended September 30, 2026, our net realized loss of $7.8 million was primarily attributable to the sale of a Structured Finance Security (Apex Credit CLO 2022-1 Ltd.), which resulted in a realized loss of $7.8 million, including $2.6 million recognized during the current quarter.</w:t>
      </w:r>
    </w:p>
    <w:p>
      <w:pPr>
        <w:spacing w:after="0" w:line="32" w:lineRule="exact"/>
        <w:rPr>
          <w:sz w:val="20"/>
          <w:szCs w:val="20"/>
          <w:color w:val="auto"/>
        </w:rPr>
      </w:pPr>
    </w:p>
    <w:p>
      <w:pPr>
        <w:ind w:right="280" w:firstLine="751"/>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2026, net unrealized depreciation, net of taxes, of $4.1 million was primarily due to depreciation of $6.8 million on our common equity investment in Pfanstiehl Holdings, Inc.</w:t>
      </w:r>
    </w:p>
    <w:p>
      <w:pPr>
        <w:spacing w:after="0" w:line="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Three months ended June 30, 2026</w:t>
      </w:r>
    </w:p>
    <w:p>
      <w:pPr>
        <w:spacing w:after="0" w:line="119" w:lineRule="exact"/>
        <w:rPr>
          <w:sz w:val="20"/>
          <w:szCs w:val="20"/>
          <w:color w:val="auto"/>
        </w:rPr>
      </w:pPr>
    </w:p>
    <w:p>
      <w:pPr>
        <w:ind w:right="380" w:firstLine="751"/>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2026, we recognized a net gain on investments of $4.6 million due to net unrealized appreciation, net of taxes of $10.6 million, partially offset by a net realized loss of $6.0 million.</w:t>
      </w:r>
    </w:p>
    <w:p>
      <w:pPr>
        <w:spacing w:after="0" w:line="54" w:lineRule="exact"/>
        <w:rPr>
          <w:sz w:val="20"/>
          <w:szCs w:val="20"/>
          <w:color w:val="auto"/>
        </w:rPr>
      </w:pPr>
    </w:p>
    <w:p>
      <w:pPr>
        <w:ind w:right="180" w:firstLine="751"/>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2026, net unrealized appreciation, net of taxes, of $10.6 million was primarily due to appreciation of $14.1 million on our common equity investment in Pfanstiehl Holdings, Inc.</w:t>
      </w:r>
    </w:p>
    <w:p>
      <w:pPr>
        <w:spacing w:after="0" w:line="54" w:lineRule="exact"/>
        <w:rPr>
          <w:sz w:val="20"/>
          <w:szCs w:val="20"/>
          <w:color w:val="auto"/>
        </w:rPr>
      </w:pPr>
    </w:p>
    <w:p>
      <w:pPr>
        <w:ind w:right="40" w:firstLine="751"/>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2026, we recognized a net realized loss of $6.0 million, primarily due to an aggregate loss of $4.8 million on the sale of Structured Finance Securities.</w:t>
      </w:r>
    </w:p>
    <w:p>
      <w:pPr>
        <w:spacing w:after="0" w:line="54" w:lineRule="exact"/>
        <w:rPr>
          <w:sz w:val="20"/>
          <w:szCs w:val="20"/>
          <w:color w:val="auto"/>
        </w:rPr>
      </w:pPr>
    </w:p>
    <w:p>
      <w:pPr>
        <w:ind w:left="740" w:right="4200"/>
        <w:spacing w:after="0" w:line="375" w:lineRule="auto"/>
        <w:rPr>
          <w:sz w:val="20"/>
          <w:szCs w:val="20"/>
          <w:color w:val="auto"/>
        </w:rPr>
      </w:pPr>
      <w:r>
        <w:rPr>
          <w:rFonts w:ascii="Times New Roman" w:cs="Times New Roman" w:eastAsia="Times New Roman" w:hAnsi="Times New Roman"/>
          <w:sz w:val="18"/>
          <w:szCs w:val="18"/>
          <w:u w:val="single" w:color="auto"/>
          <w:color w:val="auto"/>
        </w:rPr>
        <w:t xml:space="preserve">Net gain (loss) on investments for the nine months ended September 30, 2026 and 2025 </w:t>
      </w:r>
      <w:r>
        <w:rPr>
          <w:rFonts w:ascii="Times New Roman" w:cs="Times New Roman" w:eastAsia="Times New Roman" w:hAnsi="Times New Roman"/>
          <w:sz w:val="18"/>
          <w:szCs w:val="18"/>
          <w:i w:val="1"/>
          <w:iCs w:val="1"/>
          <w:color w:val="auto"/>
        </w:rPr>
        <w:t>Nine months ended September 30, 2026</w:t>
      </w:r>
    </w:p>
    <w:p>
      <w:pPr>
        <w:spacing w:after="0" w:line="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For the nine months ended September 30, 2026, we recognized a net loss on investments of $21.3 million, comprised of net realized losses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$25.1 million, partially offset by net unrealized appreciation, net of taxes, of $3.9 million. The net loss on investments during the period was primarily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net realized and unrealized losses of $19.9 million on our Structured Finance Securities.</w:t>
      </w:r>
    </w:p>
    <w:p>
      <w:pPr>
        <w:spacing w:after="0" w:line="9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Nine months ended September 30, 2025</w:t>
      </w:r>
    </w:p>
    <w:p>
      <w:pPr>
        <w:spacing w:after="0" w:line="119" w:lineRule="exact"/>
        <w:rPr>
          <w:sz w:val="20"/>
          <w:szCs w:val="20"/>
          <w:color w:val="auto"/>
        </w:rPr>
      </w:pPr>
    </w:p>
    <w:p>
      <w:pPr>
        <w:ind w:firstLine="751"/>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we recognized a net loss on investments of $31.4 million, comprised of net unrealized depreciation of $20.0 million and net realized losses of $11.4 million. The net unrealized depreciation during the period was primarily due to depreciation of $10.8 million on our common equity investment in Pfanstiehl Holdings, Inc. and $4.0 million on our non-accrual debt investments. The net realized loss of $11.4 million during the period was primarily due to a net realized loss of $6.9 million on our Structured Finance Securities.</w:t>
      </w:r>
    </w:p>
    <w:p>
      <w:pPr>
        <w:spacing w:after="0" w:line="6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p>
      <w:pPr>
        <w:spacing w:after="0" w:line="1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2026</w:t>
      </w:r>
    </w:p>
    <w:p>
      <w:pPr>
        <w:spacing w:after="0" w:line="119" w:lineRule="exact"/>
        <w:rPr>
          <w:sz w:val="20"/>
          <w:szCs w:val="20"/>
          <w:color w:val="auto"/>
        </w:rPr>
      </w:pPr>
    </w:p>
    <w:p>
      <w:pPr>
        <w:ind w:right="20" w:firstLine="751"/>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we redeemed $20.0 million of the aggregate principal amount of the 7.50% Unsecured Notes Due July 2028, and, as a result, we recognized a loss on extinguishment of debt of $0.3 million related to the acceleration of unamortized deferred debt issuance costs.</w:t>
      </w:r>
    </w:p>
    <w:p>
      <w:pPr>
        <w:spacing w:after="0" w:line="6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Nine months ended September 30, 2026</w:t>
      </w:r>
    </w:p>
    <w:p>
      <w:pPr>
        <w:spacing w:after="0" w:line="119" w:lineRule="exact"/>
        <w:rPr>
          <w:sz w:val="20"/>
          <w:szCs w:val="20"/>
          <w:color w:val="auto"/>
        </w:rPr>
      </w:pPr>
    </w:p>
    <w:p>
      <w:pPr>
        <w:ind w:right="320" w:firstLine="751"/>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we fully repaid and terminated the BNP Facility, and, as a result, we recognized a loss on extinguishment of debt of $0.1 million related to the acceleration of deferred financing costs.</w:t>
      </w:r>
    </w:p>
    <w:p>
      <w:pPr>
        <w:spacing w:after="0" w:line="54" w:lineRule="exact"/>
        <w:rPr>
          <w:sz w:val="20"/>
          <w:szCs w:val="20"/>
          <w:color w:val="auto"/>
        </w:rPr>
      </w:pPr>
    </w:p>
    <w:p>
      <w:pPr>
        <w:ind w:right="320" w:firstLine="751"/>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we amended the Banc of California Credit Facility to, among other things, reduce the maximum facility amount from $25.0 million to $15.0 million, and, as a result, we recognized a loss on extinguishment of debt of less than $0.1 million related to the acceleration of deferred financing costs.</w:t>
      </w:r>
    </w:p>
    <w:p>
      <w:pPr>
        <w:spacing w:after="0" w:line="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360" w:firstLine="751"/>
        <w:spacing w:after="0" w:line="282" w:lineRule="auto"/>
        <w:rPr>
          <w:sz w:val="20"/>
          <w:szCs w:val="20"/>
          <w:color w:val="auto"/>
        </w:rPr>
      </w:pPr>
      <w:r>
        <w:rPr>
          <w:rFonts w:ascii="Times New Roman" w:cs="Times New Roman" w:eastAsia="Times New Roman" w:hAnsi="Times New Roman"/>
          <w:sz w:val="18"/>
          <w:szCs w:val="18"/>
          <w:color w:val="auto"/>
        </w:rPr>
        <w:t>As of September 30, 2026, we held cash and cash equivalents of $3.1 million, which included $1.7 million held by OFSCC-FS. Distributions from OFSCC-FS to the Parent are restricted by the terms and conditions of the Natixis Facility.</w:t>
      </w:r>
    </w:p>
    <w:p>
      <w:pPr>
        <w:spacing w:after="0" w:line="54" w:lineRule="exact"/>
        <w:rPr>
          <w:sz w:val="20"/>
          <w:szCs w:val="20"/>
          <w:color w:val="auto"/>
        </w:rPr>
      </w:pPr>
    </w:p>
    <w:p>
      <w:pPr>
        <w:ind w:right="100" w:firstLine="751"/>
        <w:spacing w:after="0" w:line="282" w:lineRule="auto"/>
        <w:rPr>
          <w:sz w:val="20"/>
          <w:szCs w:val="20"/>
          <w:color w:val="auto"/>
        </w:rPr>
      </w:pPr>
      <w:r>
        <w:rPr>
          <w:rFonts w:ascii="Times New Roman" w:cs="Times New Roman" w:eastAsia="Times New Roman" w:hAnsi="Times New Roman"/>
          <w:sz w:val="18"/>
          <w:szCs w:val="18"/>
          <w:color w:val="auto"/>
        </w:rPr>
        <w:t>On February 18, 2026, OFSCC-FS entered into the Natixis Facility, which provides for borrowings in an aggregate principal amount up to $80.0 million. See “Borrowings—Natixis Facility” for additional information.</w:t>
      </w:r>
    </w:p>
    <w:p>
      <w:pPr>
        <w:spacing w:after="0" w:line="54" w:lineRule="exact"/>
        <w:rPr>
          <w:sz w:val="20"/>
          <w:szCs w:val="20"/>
          <w:color w:val="auto"/>
        </w:rPr>
      </w:pPr>
    </w:p>
    <w:p>
      <w:pPr>
        <w:ind w:right="540" w:firstLine="751"/>
        <w:spacing w:after="0" w:line="282" w:lineRule="auto"/>
        <w:rPr>
          <w:sz w:val="20"/>
          <w:szCs w:val="20"/>
          <w:color w:val="auto"/>
        </w:rPr>
      </w:pPr>
      <w:r>
        <w:rPr>
          <w:rFonts w:ascii="Times New Roman" w:cs="Times New Roman" w:eastAsia="Times New Roman" w:hAnsi="Times New Roman"/>
          <w:sz w:val="18"/>
          <w:szCs w:val="18"/>
          <w:color w:val="auto"/>
        </w:rPr>
        <w:t>On February 18, 2026, in connection with the closing of the Natixis Facility, OFSCC-FS repaid in full all outstanding obligations due, and terminated all commitments, under the BNP Facility. All liens securing the BNP Facility were released upon such repayment.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980" w:right="318" w:bottom="1440" w:gutter="0" w:footer="0" w:header="0"/>
        </w:sectPr>
      </w:pPr>
    </w:p>
    <w:bookmarkStart w:id="57" w:name="page58"/>
    <w:bookmarkEnd w:id="57"/>
    <w:p>
      <w:pPr>
        <w:ind w:left="7" w:right="320" w:firstLine="751"/>
        <w:spacing w:after="0" w:line="282" w:lineRule="auto"/>
        <w:rPr>
          <w:sz w:val="20"/>
          <w:szCs w:val="20"/>
          <w:color w:val="auto"/>
        </w:rPr>
      </w:pPr>
      <w:r>
        <w:rPr>
          <w:rFonts w:ascii="Times New Roman" w:cs="Times New Roman" w:eastAsia="Times New Roman" w:hAnsi="Times New Roman"/>
          <w:sz w:val="18"/>
          <w:szCs w:val="18"/>
          <w:color w:val="auto"/>
        </w:rPr>
        <w:t>As of September 30, 2026, we had an unused commitment of $15.0 million under our Banc of California Credit Facility, as well as an unused commitment of $54.6 million under our Natixis Facility, both of which are subject to borrowing base requirements and other covenants.</w:t>
      </w:r>
    </w:p>
    <w:p>
      <w:pPr>
        <w:spacing w:after="0" w:line="54"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18"/>
          <w:szCs w:val="18"/>
          <w:color w:val="auto"/>
        </w:rPr>
        <w:t>As of September 30, 2026, we had $4.0 million in outstanding unfunded commitments to portfolio companies.</w:t>
      </w:r>
    </w:p>
    <w:p>
      <w:pPr>
        <w:spacing w:after="0" w:line="117" w:lineRule="exact"/>
        <w:rPr>
          <w:sz w:val="20"/>
          <w:szCs w:val="20"/>
          <w:color w:val="auto"/>
        </w:rPr>
      </w:pPr>
    </w:p>
    <w:p>
      <w:pPr>
        <w:ind w:left="7" w:right="260" w:firstLine="751"/>
        <w:spacing w:after="0" w:line="261" w:lineRule="auto"/>
        <w:rPr>
          <w:sz w:val="20"/>
          <w:szCs w:val="20"/>
          <w:color w:val="auto"/>
        </w:rPr>
      </w:pPr>
      <w:r>
        <w:rPr>
          <w:rFonts w:ascii="Times New Roman" w:cs="Times New Roman" w:eastAsia="Times New Roman" w:hAnsi="Times New Roman"/>
          <w:sz w:val="18"/>
          <w:szCs w:val="18"/>
          <w:color w:val="auto"/>
        </w:rPr>
        <w:t>As of September 30, 2026, the aggregate amount outstanding of the senior securities issued by us was $154.4 million, for which our asset coverage was 164%, exceeding our minimum asset coverage requirement of 150% under the 1940 Act.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spacing w:after="0" w:line="68"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121" w:lineRule="exact"/>
        <w:rPr>
          <w:sz w:val="20"/>
          <w:szCs w:val="20"/>
          <w:color w:val="auto"/>
        </w:rPr>
      </w:pPr>
    </w:p>
    <w:p>
      <w:pPr>
        <w:ind w:left="7" w:right="40" w:firstLine="751"/>
        <w:spacing w:after="0" w:line="254" w:lineRule="auto"/>
        <w:rPr>
          <w:sz w:val="20"/>
          <w:szCs w:val="20"/>
          <w:color w:val="auto"/>
        </w:rPr>
      </w:pPr>
      <w:r>
        <w:rPr>
          <w:rFonts w:ascii="Times New Roman" w:cs="Times New Roman" w:eastAsia="Times New Roman" w:hAnsi="Times New Roman"/>
          <w:sz w:val="18"/>
          <w:szCs w:val="18"/>
          <w:color w:val="auto"/>
        </w:rPr>
        <w:t>We generate operating cash flows from net investment income and the net proceeds from the liquidation of portfolio investments, and use cash in our operations in the net purchase of portfolio investments and payment of expenses. Significant variations may exist between net investment income and cash from net investment income, primarily due to the recognition of non-cash investment income, including certain Net Loan Fee amortization, PIK interest and PIK dividends, which generally will not be fully realized in cash until we exit the investment, as well as accreted interest income on Structured Finance Securities, which may not coincide with cash distributions from these investments. As discussed in “Item 1—Financial Statements—Note 3,” we pay OFS Advisor a quarterly incentive fee with respect to our pre-incentive fee net investment income, which may include investment income that we have not received in cash. In addition, we must distribute substantially all of our taxable income, which approximates, but will not always equal, the cash we generate from net investment income to maintain our RIC tax treatment. We also obtain cash to fund investments or general corporate activities from the issuance of securities and our revolving lines of credit. These principal sources and uses of cash and liquidity are presented below (in thousands):</w:t>
      </w:r>
    </w:p>
    <w:p>
      <w:pPr>
        <w:spacing w:after="0" w:line="130" w:lineRule="exact"/>
        <w:rPr>
          <w:sz w:val="20"/>
          <w:szCs w:val="20"/>
          <w:color w:val="auto"/>
        </w:rPr>
      </w:pPr>
    </w:p>
    <w:tbl>
      <w:tblPr>
        <w:tblLayout w:type="fixed"/>
        <w:tblInd w:w="7"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54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6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23"/>
        </w:trPr>
        <w:tc>
          <w:tcPr>
            <w:tcW w:w="6600" w:type="dxa"/>
            <w:vAlign w:val="bottom"/>
            <w:shd w:val="clear" w:color="auto" w:fill="CFF0FC"/>
          </w:tcPr>
          <w:p>
            <w:pPr>
              <w:spacing w:after="0" w:line="222" w:lineRule="exact"/>
              <w:rPr>
                <w:sz w:val="20"/>
                <w:szCs w:val="20"/>
                <w:color w:val="auto"/>
              </w:rPr>
            </w:pPr>
            <w:r>
              <w:rPr>
                <w:rFonts w:ascii="Times New Roman" w:cs="Times New Roman" w:eastAsia="Times New Roman" w:hAnsi="Times New Roman"/>
                <w:sz w:val="18"/>
                <w:szCs w:val="18"/>
                <w:color w:val="auto"/>
              </w:rPr>
              <w:t>Cash from net investment income</w:t>
            </w:r>
            <w:r>
              <w:rPr>
                <w:rFonts w:ascii="Times New Roman" w:cs="Times New Roman" w:eastAsia="Times New Roman" w:hAnsi="Times New Roman"/>
                <w:sz w:val="24"/>
                <w:szCs w:val="24"/>
                <w:color w:val="auto"/>
                <w:vertAlign w:val="superscript"/>
              </w:rPr>
              <w:t>(1)</w:t>
            </w:r>
          </w:p>
        </w:tc>
        <w:tc>
          <w:tcPr>
            <w:tcW w:w="1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Net repayments and sales of portfolio investments</w:t>
            </w:r>
            <w:r>
              <w:rPr>
                <w:rFonts w:ascii="Times New Roman" w:cs="Times New Roman" w:eastAsia="Times New Roman" w:hAnsi="Times New Roman"/>
                <w:sz w:val="24"/>
                <w:szCs w:val="24"/>
                <w:color w:val="auto"/>
                <w:vertAlign w:val="superscript"/>
              </w:rPr>
              <w:t>(1)</w:t>
            </w:r>
          </w:p>
        </w:tc>
        <w:tc>
          <w:tcPr>
            <w:tcW w:w="1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70,200</w:t>
            </w: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17,329</w:t>
            </w:r>
          </w:p>
        </w:tc>
        <w:tc>
          <w:tcPr>
            <w:tcW w:w="100" w:type="dxa"/>
            <w:vAlign w:val="bottom"/>
          </w:tcPr>
          <w:p>
            <w:pPr>
              <w:spacing w:after="0"/>
              <w:rPr>
                <w:sz w:val="19"/>
                <w:szCs w:val="19"/>
                <w:color w:val="auto"/>
              </w:rPr>
            </w:pP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71,972</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24,260</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spacing w:after="0"/>
              <w:rPr>
                <w:sz w:val="19"/>
                <w:szCs w:val="19"/>
                <w:color w:val="auto"/>
              </w:rPr>
            </w:pPr>
          </w:p>
        </w:tc>
      </w:tr>
      <w:tr>
        <w:trPr>
          <w:trHeight w:val="230"/>
        </w:trPr>
        <w:tc>
          <w:tcPr>
            <w:tcW w:w="6600" w:type="dxa"/>
            <w:vAlign w:val="bottom"/>
            <w:shd w:val="clear" w:color="auto" w:fill="CFF0FC"/>
          </w:tcPr>
          <w:p>
            <w:pPr>
              <w:spacing w:after="0" w:line="229" w:lineRule="exact"/>
              <w:rPr>
                <w:sz w:val="20"/>
                <w:szCs w:val="20"/>
                <w:color w:val="auto"/>
              </w:rPr>
            </w:pPr>
            <w:r>
              <w:rPr>
                <w:rFonts w:ascii="Times New Roman" w:cs="Times New Roman" w:eastAsia="Times New Roman" w:hAnsi="Times New Roman"/>
                <w:sz w:val="18"/>
                <w:szCs w:val="18"/>
                <w:color w:val="auto"/>
              </w:rPr>
              <w:t>Distributions paid to stockholders</w:t>
            </w:r>
            <w:r>
              <w:rPr>
                <w:rFonts w:ascii="Times New Roman" w:cs="Times New Roman" w:eastAsia="Times New Roman" w:hAnsi="Times New Roman"/>
                <w:sz w:val="24"/>
                <w:szCs w:val="24"/>
                <w:color w:val="auto"/>
                <w:vertAlign w:val="superscript"/>
              </w:rPr>
              <w:t>(2)</w:t>
            </w:r>
          </w:p>
        </w:tc>
        <w:tc>
          <w:tcPr>
            <w:tcW w:w="1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(4,555)</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(13,666)</w:t>
            </w: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repayments under revolving lines of credit</w:t>
            </w:r>
          </w:p>
        </w:tc>
        <w:tc>
          <w:tcPr>
            <w:tcW w:w="1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(30,050)</w:t>
            </w: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(9,150)</w:t>
            </w:r>
          </w:p>
        </w:tc>
      </w:tr>
      <w:tr>
        <w:trPr>
          <w:trHeight w:val="22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Unsecured Notes offering, net of commissions and discounts</w:t>
            </w:r>
          </w:p>
        </w:tc>
        <w:tc>
          <w:tcPr>
            <w:tcW w:w="1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91,870</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Redemption of Unsecured Notes</w:t>
            </w:r>
          </w:p>
        </w:tc>
        <w:tc>
          <w:tcPr>
            <w:tcW w:w="1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(36,000)</w:t>
            </w: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(94,000)</w:t>
            </w: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1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(1,594)</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(374)</w:t>
            </w:r>
          </w:p>
        </w:tc>
      </w:tr>
      <w:tr>
        <w:trPr>
          <w:trHeight w:val="20"/>
        </w:trPr>
        <w:tc>
          <w:tcPr>
            <w:tcW w:w="660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(72,199)</w:t>
            </w: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(25,320)</w:t>
            </w:r>
          </w:p>
        </w:tc>
      </w:tr>
      <w:tr>
        <w:trPr>
          <w:trHeight w:val="263"/>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12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3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5906135</wp:posOffset>
            </wp:positionH>
            <wp:positionV relativeFrom="paragraph">
              <wp:posOffset>-25400</wp:posOffset>
            </wp:positionV>
            <wp:extent cx="685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-8255</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7089140</wp:posOffset>
            </wp:positionH>
            <wp:positionV relativeFrom="paragraph">
              <wp:posOffset>-25400</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7089140</wp:posOffset>
            </wp:positionH>
            <wp:positionV relativeFrom="paragraph">
              <wp:posOffset>-8255</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left="367" w:right="60" w:hanging="367"/>
        <w:spacing w:after="0" w:line="258" w:lineRule="auto"/>
        <w:tabs>
          <w:tab w:leader="none" w:pos="36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from net investment income includes all other cash flows from operating activities reported in our statements of cash flows. Net purchases and originations/repayments and sales of portfolio investments includes the purchase and origination of portfolio investments, proceeds from principal payments on portfolio investments, proceeds from sale or redemption of portfolio investments, changes in receivable for investments sold, payable for investments purchased as reported in our statements of cash flows, as well as differences in proceeds from distributions received from Structured Finance Securities relative to accretion of interest income on Structured Finance Securities.</w:t>
      </w:r>
    </w:p>
    <w:p>
      <w:pPr>
        <w:spacing w:after="0" w:line="75" w:lineRule="exact"/>
        <w:rPr>
          <w:rFonts w:ascii="Times New Roman" w:cs="Times New Roman" w:eastAsia="Times New Roman" w:hAnsi="Times New Roman"/>
          <w:sz w:val="18"/>
          <w:szCs w:val="18"/>
          <w:color w:val="auto"/>
        </w:rPr>
      </w:pPr>
    </w:p>
    <w:p>
      <w:pPr>
        <w:ind w:left="367" w:right="280" w:hanging="367"/>
        <w:spacing w:after="0" w:line="261" w:lineRule="auto"/>
        <w:tabs>
          <w:tab w:leader="none" w:pos="36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estimate that a portion of our distributions for the year ending December 31, 2026 will be characterized as a tax return of capital. The determination of the tax attributes of our distributions is made annually as of the end of our fiscal year based upon our ICTI for the full year and distributions paid for the full year. Therefore, a determination made on a quarterly basis may not be representative of the actual tax attributes of our distributions for a full year.</w:t>
      </w:r>
    </w:p>
    <w:p>
      <w:pPr>
        <w:spacing w:after="0" w:line="72"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18"/>
          <w:szCs w:val="18"/>
          <w:u w:val="single" w:color="auto"/>
          <w:color w:val="auto"/>
        </w:rPr>
        <w:t>Net cash provided by operating activities</w:t>
      </w:r>
    </w:p>
    <w:p>
      <w:pPr>
        <w:spacing w:after="0" w:line="117" w:lineRule="exact"/>
        <w:rPr>
          <w:sz w:val="20"/>
          <w:szCs w:val="20"/>
          <w:color w:val="auto"/>
        </w:rPr>
      </w:pPr>
    </w:p>
    <w:p>
      <w:pPr>
        <w:ind w:left="7" w:right="40" w:firstLine="751"/>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net cash from operating activities increased by $47.7 million compared to the nine months ended September 30, 2025, primarily due to an increase of $52.9 million in net repayments and sales of portfolio investments, which were primarily used for the repayment of outstanding debt.</w:t>
      </w:r>
    </w:p>
    <w:p>
      <w:pPr>
        <w:spacing w:after="0" w:line="68"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18"/>
          <w:szCs w:val="18"/>
          <w:u w:val="single" w:color="auto"/>
          <w:color w:val="auto"/>
        </w:rPr>
        <w:t>Net cash used in financing activities</w:t>
      </w:r>
    </w:p>
    <w:p>
      <w:pPr>
        <w:spacing w:after="0" w:line="117" w:lineRule="exact"/>
        <w:rPr>
          <w:sz w:val="20"/>
          <w:szCs w:val="20"/>
          <w:color w:val="auto"/>
        </w:rPr>
      </w:pPr>
    </w:p>
    <w:p>
      <w:pPr>
        <w:ind w:left="7" w:right="100" w:firstLine="751"/>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net cash used in financing activities increased $46.9 million compared to the nine months ended September 30, 2025, primarily due to an increase in net repayments on outstanding borrowings of $54.8 million, partially offset by a reduction in distributions paid to stockholders.</w:t>
      </w:r>
    </w:p>
    <w:p>
      <w:pPr>
        <w:spacing w:after="0" w:line="17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088" w:right="318" w:bottom="1440" w:gutter="0" w:footer="0" w:header="0"/>
        </w:sectPr>
      </w:pPr>
    </w:p>
    <w:bookmarkStart w:id="58" w:name="page59"/>
    <w:bookmarkEnd w:id="58"/>
    <w:p>
      <w:pPr>
        <w:ind w:left="740"/>
        <w:spacing w:after="0"/>
        <w:rPr>
          <w:sz w:val="20"/>
          <w:szCs w:val="20"/>
          <w:color w:val="auto"/>
        </w:rPr>
      </w:pPr>
      <w:r>
        <w:rPr>
          <w:rFonts w:ascii="Times New Roman" w:cs="Times New Roman" w:eastAsia="Times New Roman" w:hAnsi="Times New Roman"/>
          <w:sz w:val="18"/>
          <w:szCs w:val="18"/>
          <w:b w:val="1"/>
          <w:bCs w:val="1"/>
          <w:color w:val="auto"/>
        </w:rPr>
        <w:t>Borrowings</w:t>
      </w:r>
    </w:p>
    <w:p>
      <w:pPr>
        <w:spacing w:after="0" w:line="121" w:lineRule="exact"/>
        <w:rPr>
          <w:sz w:val="20"/>
          <w:szCs w:val="20"/>
          <w:color w:val="auto"/>
        </w:rPr>
      </w:pPr>
    </w:p>
    <w:p>
      <w:pPr>
        <w:ind w:right="100" w:firstLine="751"/>
        <w:spacing w:after="0" w:line="282" w:lineRule="auto"/>
        <w:rPr>
          <w:sz w:val="20"/>
          <w:szCs w:val="20"/>
          <w:color w:val="auto"/>
        </w:rPr>
      </w:pPr>
      <w:r>
        <w:rPr>
          <w:rFonts w:ascii="Times New Roman" w:cs="Times New Roman" w:eastAsia="Times New Roman" w:hAnsi="Times New Roman"/>
          <w:sz w:val="18"/>
          <w:szCs w:val="18"/>
          <w:color w:val="auto"/>
        </w:rPr>
        <w:t>As of September 30, 2026, we had $154.4 million of outstanding debt with a weighted-average effective interest rate of 7.49%. As of September 30, 2026, 68% of our outstanding debt matures in more than two years and 84% of our outstanding debt is unsecured.</w:t>
      </w:r>
    </w:p>
    <w:p>
      <w:pPr>
        <w:spacing w:after="0" w:line="5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u w:val="single" w:color="auto"/>
          <w:color w:val="auto"/>
        </w:rPr>
        <w:t>Banc of California Credit Facility</w:t>
      </w:r>
    </w:p>
    <w:p>
      <w:pPr>
        <w:spacing w:after="0" w:line="117" w:lineRule="exact"/>
        <w:rPr>
          <w:sz w:val="20"/>
          <w:szCs w:val="20"/>
          <w:color w:val="auto"/>
        </w:rPr>
      </w:pPr>
    </w:p>
    <w:p>
      <w:pPr>
        <w:ind w:firstLine="751"/>
        <w:spacing w:after="0" w:line="254" w:lineRule="auto"/>
        <w:rPr>
          <w:sz w:val="20"/>
          <w:szCs w:val="20"/>
          <w:color w:val="auto"/>
        </w:rPr>
      </w:pPr>
      <w:r>
        <w:rPr>
          <w:rFonts w:ascii="Times New Roman" w:cs="Times New Roman" w:eastAsia="Times New Roman" w:hAnsi="Times New Roman"/>
          <w:sz w:val="18"/>
          <w:szCs w:val="18"/>
          <w:color w:val="auto"/>
        </w:rPr>
        <w:t>We are party to the BLA with Banc of California, as lender, to provide us with a senior secured revolving credit facility, or the Banc of California Credit Facility, which is available for general corporate purposes, including investment funding, and is scheduled to mature on February 28, 2028. The Banc of California Credit Facility currently bears interest at a variable Prime Rate plus a 0.25% margin, with a 5.00% floor, and an annual commitment fee of 0.50% based on the maximum principal amount of the facility. As of September 30, 2026, the effective interest rate on the Banc of California Credit Facility was 7.77%. The maximum availability of the Banc of California Credit Facility is equal to 50% of the aggregate outstanding principal amount of eligible loans included in the borrowing base, which typically excludes Structured Finance Securities, foreign loans, and non-performing loans, and as otherwise specified in the BLA. The Banc of California Credit Facility is guaranteed by OFSCC-MB and secured by all of our and OFSCC-MB’s current and future assets, excluding assets held by OFSCC-FS and our partnership interests and the assets of SBIC I LP.</w:t>
      </w:r>
    </w:p>
    <w:p>
      <w:pPr>
        <w:spacing w:after="0" w:line="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On January 9, 2026, we amended the Banc of California Credit Facility to extend the maturity date from February 28, 2026 to February 28, 2028.</w:t>
      </w:r>
    </w:p>
    <w:p>
      <w:pPr>
        <w:spacing w:after="0" w:line="117" w:lineRule="exact"/>
        <w:rPr>
          <w:sz w:val="20"/>
          <w:szCs w:val="20"/>
          <w:color w:val="auto"/>
        </w:rPr>
      </w:pPr>
    </w:p>
    <w:p>
      <w:pPr>
        <w:ind w:right="200" w:firstLine="751"/>
        <w:spacing w:after="0" w:line="258" w:lineRule="auto"/>
        <w:rPr>
          <w:sz w:val="20"/>
          <w:szCs w:val="20"/>
          <w:color w:val="auto"/>
        </w:rPr>
      </w:pPr>
      <w:r>
        <w:rPr>
          <w:rFonts w:ascii="Times New Roman" w:cs="Times New Roman" w:eastAsia="Times New Roman" w:hAnsi="Times New Roman"/>
          <w:sz w:val="18"/>
          <w:szCs w:val="18"/>
          <w:color w:val="auto"/>
        </w:rPr>
        <w:t>On March 27, 2026, we amended the Banc of California Credit Facility to, among other things: (i) reduce the minimum tangible net asset value covenant from $100.0 million to $75.0 million; (ii) reduce the covenant requiring minimum quarterly net investment income after management/incentive fees from $2.0 million to $1.0 million for each of the quarters ending March 31, 2026, June 30, 2026 and September 30, 2026, after which the minimum quarterly net investment income after management/incentive fees covenant shall return to $2.0 million; and (iii) decrease our maximum commitment amount from $25.0 million to $15.0 million.</w:t>
      </w:r>
    </w:p>
    <w:p>
      <w:pPr>
        <w:spacing w:after="0" w:line="75" w:lineRule="exact"/>
        <w:rPr>
          <w:sz w:val="20"/>
          <w:szCs w:val="20"/>
          <w:color w:val="auto"/>
        </w:rPr>
      </w:pPr>
    </w:p>
    <w:p>
      <w:pPr>
        <w:jc w:val="both"/>
        <w:ind w:right="80" w:firstLine="751"/>
        <w:spacing w:after="0" w:line="266" w:lineRule="auto"/>
        <w:rPr>
          <w:sz w:val="20"/>
          <w:szCs w:val="20"/>
          <w:color w:val="auto"/>
        </w:rPr>
      </w:pPr>
      <w:r>
        <w:rPr>
          <w:rFonts w:ascii="Times New Roman" w:cs="Times New Roman" w:eastAsia="Times New Roman" w:hAnsi="Times New Roman"/>
          <w:sz w:val="18"/>
          <w:szCs w:val="18"/>
          <w:color w:val="auto"/>
        </w:rPr>
        <w:t>On September 30, 2026, Banc of California provided a covenant waiver for the quarter ended September 30, 2026 related to the requirement of a $1.0 million minimum quarterly net investment income, after management and incentive fees. We may need covenant waivers in the future and there is no guarantee the covenant waiver will be granted.</w:t>
      </w:r>
    </w:p>
    <w:p>
      <w:pPr>
        <w:spacing w:after="0" w:line="68" w:lineRule="exact"/>
        <w:rPr>
          <w:sz w:val="20"/>
          <w:szCs w:val="20"/>
          <w:color w:val="auto"/>
        </w:rPr>
      </w:pPr>
    </w:p>
    <w:p>
      <w:pPr>
        <w:ind w:right="20" w:firstLine="751"/>
        <w:spacing w:after="0" w:line="256" w:lineRule="auto"/>
        <w:rPr>
          <w:sz w:val="20"/>
          <w:szCs w:val="20"/>
          <w:color w:val="auto"/>
        </w:rPr>
      </w:pPr>
      <w:r>
        <w:rPr>
          <w:rFonts w:ascii="Times New Roman" w:cs="Times New Roman" w:eastAsia="Times New Roman" w:hAnsi="Times New Roman"/>
          <w:sz w:val="18"/>
          <w:szCs w:val="18"/>
          <w:color w:val="auto"/>
        </w:rPr>
        <w:t>The BLA contains customary terms and conditions, including, without limitation, affirmative and negative covenants, such as information reporting requirements, a minimum tangible net asset value, a minimum quarterly net investment income after incentive fees and a debt/worth ratio. The BLA also contains customary events of default, including, without limitation, nonpayment, misrepresentation of representations and warranties in a material respect, breach of covenant, cross-default to other indebtedness, bankruptcy, change in investment advisor, and the occurrence of a material adverse change in our financial condition. As of September 30, 2026, we were in compliance in all material respects with the applicable covenants under the Banc of California Credit Facility (after giving effect to the minimum quarterly net investment income covenant waiver).</w:t>
      </w:r>
    </w:p>
    <w:p>
      <w:pPr>
        <w:spacing w:after="0" w:line="79" w:lineRule="exact"/>
        <w:rPr>
          <w:sz w:val="20"/>
          <w:szCs w:val="20"/>
          <w:color w:val="auto"/>
        </w:rPr>
      </w:pPr>
    </w:p>
    <w:p>
      <w:pPr>
        <w:ind w:right="80" w:firstLine="751"/>
        <w:spacing w:after="0" w:line="282" w:lineRule="auto"/>
        <w:rPr>
          <w:sz w:val="20"/>
          <w:szCs w:val="20"/>
          <w:color w:val="auto"/>
        </w:rPr>
      </w:pPr>
      <w:r>
        <w:rPr>
          <w:rFonts w:ascii="Times New Roman" w:cs="Times New Roman" w:eastAsia="Times New Roman" w:hAnsi="Times New Roman"/>
          <w:sz w:val="18"/>
          <w:szCs w:val="18"/>
          <w:color w:val="auto"/>
        </w:rPr>
        <w:t>As of September 30, 2026, we had no outstanding debt and an unused commitment of $15.0 million under the Banc of California Credit Facility, subject to the terms of the borrowing base and other covenants.</w:t>
      </w:r>
    </w:p>
    <w:p>
      <w:pPr>
        <w:spacing w:after="0" w:line="5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u w:val="single" w:color="auto"/>
          <w:color w:val="auto"/>
        </w:rPr>
        <w:t>Unsecured Notes</w:t>
      </w:r>
    </w:p>
    <w:p>
      <w:pPr>
        <w:spacing w:after="0" w:line="117" w:lineRule="exact"/>
        <w:rPr>
          <w:sz w:val="20"/>
          <w:szCs w:val="20"/>
          <w:color w:val="auto"/>
        </w:rPr>
      </w:pPr>
    </w:p>
    <w:p>
      <w:pPr>
        <w:ind w:right="20" w:firstLine="751"/>
        <w:spacing w:after="0" w:line="258" w:lineRule="auto"/>
        <w:rPr>
          <w:sz w:val="20"/>
          <w:szCs w:val="20"/>
          <w:color w:val="auto"/>
        </w:rPr>
      </w:pPr>
      <w:r>
        <w:rPr>
          <w:rFonts w:ascii="Times New Roman" w:cs="Times New Roman" w:eastAsia="Times New Roman" w:hAnsi="Times New Roman"/>
          <w:sz w:val="18"/>
          <w:szCs w:val="18"/>
          <w:color w:val="auto"/>
        </w:rPr>
        <w:t>As of September 30, 2026 and December 31, 2025, we had $129.0 million and $165.0 million, respectively, in outstanding Unsecured Notes. The Unsecured Notes are direct unsecured obligations and rank equal in right of payment with all of our current and future unsecured indebtedness. Because the Unsecured Notes are not secured by any of our assets, they are effectively subordinated to all existing and future secured unsubordinated indebtedness (or any indebtedness that is initially unsecured as to which we subsequently grant a security interest), to the extent of the value of the assets securing such indebtedness, including, without limitation, borrowings under the Banc of California Credit Facility and Natixis Facility.</w:t>
      </w:r>
    </w:p>
    <w:p>
      <w:pPr>
        <w:spacing w:after="0" w:line="75" w:lineRule="exact"/>
        <w:rPr>
          <w:sz w:val="20"/>
          <w:szCs w:val="20"/>
          <w:color w:val="auto"/>
        </w:rPr>
      </w:pPr>
    </w:p>
    <w:p>
      <w:pPr>
        <w:ind w:right="340" w:firstLine="751"/>
        <w:spacing w:after="0" w:line="258" w:lineRule="auto"/>
        <w:rPr>
          <w:sz w:val="20"/>
          <w:szCs w:val="20"/>
          <w:color w:val="auto"/>
        </w:rPr>
      </w:pPr>
      <w:r>
        <w:rPr>
          <w:rFonts w:ascii="Times New Roman" w:cs="Times New Roman" w:eastAsia="Times New Roman" w:hAnsi="Times New Roman"/>
          <w:sz w:val="18"/>
          <w:szCs w:val="18"/>
          <w:color w:val="auto"/>
        </w:rPr>
        <w:t>In order to, among other things, reduce future cash interest payments, as well as future amounts due at maturity or upon redemption, we may, from time to time, purchase the Unsecured Notes for cash in open market purchases and/or privately negotiated transactions. We will evaluate any such transactions in light of then-existing market conditions, taking into account our current liquidity, prospects for future access to capital, contractual restrictions and other factors. The amounts involved in any such transactions, individually or in the aggregate, may be material. During the nine months ended September 30, 2026, no outstanding Unsecured Notes were repurchased.</w:t>
      </w:r>
    </w:p>
    <w:p>
      <w:pPr>
        <w:spacing w:after="0" w:line="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Redemption of Unsecured Notes</w:t>
      </w:r>
    </w:p>
    <w:p>
      <w:pPr>
        <w:spacing w:after="0" w:line="119" w:lineRule="exact"/>
        <w:rPr>
          <w:sz w:val="20"/>
          <w:szCs w:val="20"/>
          <w:color w:val="auto"/>
        </w:rPr>
      </w:pPr>
    </w:p>
    <w:p>
      <w:pPr>
        <w:jc w:val="both"/>
        <w:ind w:right="80" w:firstLine="751"/>
        <w:spacing w:after="0" w:line="266" w:lineRule="auto"/>
        <w:rPr>
          <w:sz w:val="20"/>
          <w:szCs w:val="20"/>
          <w:color w:val="auto"/>
        </w:rPr>
      </w:pPr>
      <w:r>
        <w:rPr>
          <w:rFonts w:ascii="Times New Roman" w:cs="Times New Roman" w:eastAsia="Times New Roman" w:hAnsi="Times New Roman"/>
          <w:sz w:val="18"/>
          <w:szCs w:val="18"/>
          <w:color w:val="auto"/>
        </w:rPr>
        <w:t>On January 8, 2026, we issued notices to the holders of the Unsecured Notes Due February 2026 regarding the exercise of our option to redeem on February 9, 2026, $16.0 million of the Unsecured Notes Due February 2026, which was equal to the remainder of the outstanding Unsecured Notes Due February 2026, plus accrued interest of $0.4 million.</w:t>
      </w:r>
    </w:p>
    <w:p>
      <w:pPr>
        <w:spacing w:after="0" w:line="68" w:lineRule="exact"/>
        <w:rPr>
          <w:sz w:val="20"/>
          <w:szCs w:val="20"/>
          <w:color w:val="auto"/>
        </w:rPr>
      </w:pPr>
    </w:p>
    <w:p>
      <w:pPr>
        <w:ind w:right="240" w:firstLine="751"/>
        <w:spacing w:after="0" w:line="282" w:lineRule="auto"/>
        <w:rPr>
          <w:sz w:val="20"/>
          <w:szCs w:val="20"/>
          <w:color w:val="auto"/>
        </w:rPr>
      </w:pPr>
      <w:r>
        <w:rPr>
          <w:rFonts w:ascii="Times New Roman" w:cs="Times New Roman" w:eastAsia="Times New Roman" w:hAnsi="Times New Roman"/>
          <w:sz w:val="18"/>
          <w:szCs w:val="18"/>
          <w:color w:val="auto"/>
        </w:rPr>
        <w:t>On August 28, 2026, we issued notices to the holders of the Unsecured Notes Due July 2028 regarding the exercise of our option to redeem on September 29, 2026, $20.0 million of the issued and outstanding amount of such notes, plus accrued interest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4" w:right="318" w:bottom="1440" w:gutter="0" w:footer="0" w:header="0"/>
        </w:sectPr>
      </w:pPr>
    </w:p>
    <w:bookmarkStart w:id="59" w:name="page60"/>
    <w:bookmarkEnd w:id="59"/>
    <w:p>
      <w:pPr>
        <w:ind w:left="7" w:right="120"/>
        <w:spacing w:after="0" w:line="282" w:lineRule="auto"/>
        <w:rPr>
          <w:sz w:val="20"/>
          <w:szCs w:val="20"/>
          <w:color w:val="auto"/>
        </w:rPr>
      </w:pPr>
      <w:r>
        <w:rPr>
          <w:rFonts w:ascii="Times New Roman" w:cs="Times New Roman" w:eastAsia="Times New Roman" w:hAnsi="Times New Roman"/>
          <w:sz w:val="18"/>
          <w:szCs w:val="18"/>
          <w:color w:val="auto"/>
        </w:rPr>
        <w:t>$0.2 million. We recognized a loss on extinguishment of debt of $0.3 million related to the acceleration of unamortized deferred debt issuance costs on the redeemed notes.</w:t>
      </w:r>
    </w:p>
    <w:p>
      <w:pPr>
        <w:spacing w:after="0" w:line="54"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18"/>
          <w:szCs w:val="18"/>
          <w:color w:val="auto"/>
        </w:rPr>
        <w:t>As of September 30, 2026, the Unsecured Notes had the following terms and balances (dollar amounts in thousands):</w:t>
      </w:r>
    </w:p>
    <w:p>
      <w:pPr>
        <w:spacing w:after="0" w:line="167" w:lineRule="exact"/>
        <w:rPr>
          <w:sz w:val="20"/>
          <w:szCs w:val="20"/>
          <w:color w:val="auto"/>
        </w:rPr>
      </w:pPr>
    </w:p>
    <w:tbl>
      <w:tblPr>
        <w:tblLayout w:type="fixed"/>
        <w:tblInd w:w="7"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Stated</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Optional</w:t>
            </w: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196"/>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380" w:type="dxa"/>
            <w:vAlign w:val="bottom"/>
            <w:gridSpan w:val="2"/>
          </w:tcPr>
          <w:p>
            <w:pPr>
              <w:jc w:val="center"/>
              <w:ind w:right="3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Redemption</w:t>
            </w: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58"/>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Unsecured Notes</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220" w:type="dxa"/>
            <w:vAlign w:val="bottom"/>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80" w:type="dxa"/>
            <w:vAlign w:val="bottom"/>
          </w:tcPr>
          <w:p>
            <w:pPr>
              <w:spacing w:after="0"/>
              <w:rPr>
                <w:sz w:val="22"/>
                <w:szCs w:val="22"/>
                <w:color w:val="auto"/>
              </w:rPr>
            </w:pPr>
          </w:p>
        </w:tc>
        <w:tc>
          <w:tcPr>
            <w:tcW w:w="110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1"/>
              </w:rPr>
              <w:t>Rate</w:t>
            </w:r>
            <w:r>
              <w:rPr>
                <w:rFonts w:ascii="Times New Roman" w:cs="Times New Roman" w:eastAsia="Times New Roman" w:hAnsi="Times New Roman"/>
                <w:sz w:val="24"/>
                <w:szCs w:val="24"/>
                <w:b w:val="1"/>
                <w:bCs w:val="1"/>
                <w:color w:val="auto"/>
                <w:w w:val="91"/>
                <w:vertAlign w:val="superscript"/>
              </w:rPr>
              <w:t>(1)</w:t>
            </w:r>
          </w:p>
        </w:tc>
        <w:tc>
          <w:tcPr>
            <w:tcW w:w="280" w:type="dxa"/>
            <w:vAlign w:val="bottom"/>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0" w:type="dxa"/>
            <w:vAlign w:val="bottom"/>
          </w:tcPr>
          <w:p>
            <w:pPr>
              <w:spacing w:after="0"/>
              <w:rPr>
                <w:sz w:val="22"/>
                <w:szCs w:val="22"/>
                <w:color w:val="auto"/>
              </w:rPr>
            </w:pPr>
          </w:p>
        </w:tc>
        <w:tc>
          <w:tcPr>
            <w:tcW w:w="17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Maturity</w:t>
            </w:r>
          </w:p>
        </w:tc>
      </w:tr>
      <w:tr>
        <w:trPr>
          <w:trHeight w:val="223"/>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Unsecured Notes Due July 2028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7.50%</w:t>
            </w:r>
          </w:p>
        </w:tc>
        <w:tc>
          <w:tcPr>
            <w:tcW w:w="138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8.34%</w:t>
            </w:r>
          </w:p>
        </w:tc>
        <w:tc>
          <w:tcPr>
            <w:tcW w:w="12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6"/>
              </w:rPr>
              <w:t>Callable</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31, 2028</w:t>
            </w: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Unsecured Notes Due October 2028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w w:val="95"/>
              </w:rPr>
              <w:t>4.95</w:t>
            </w:r>
          </w:p>
        </w:tc>
        <w:tc>
          <w:tcPr>
            <w:tcW w:w="280" w:type="dxa"/>
            <w:vAlign w:val="bottom"/>
          </w:tcPr>
          <w:p>
            <w:pPr>
              <w:spacing w:after="0"/>
              <w:rPr>
                <w:sz w:val="19"/>
                <w:szCs w:val="19"/>
                <w:color w:val="auto"/>
              </w:rPr>
            </w:pPr>
          </w:p>
        </w:tc>
        <w:tc>
          <w:tcPr>
            <w:tcW w:w="11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5.32</w:t>
            </w:r>
          </w:p>
        </w:tc>
        <w:tc>
          <w:tcPr>
            <w:tcW w:w="280" w:type="dxa"/>
            <w:vAlign w:val="bottom"/>
          </w:tcPr>
          <w:p>
            <w:pPr>
              <w:spacing w:after="0"/>
              <w:rPr>
                <w:sz w:val="19"/>
                <w:szCs w:val="19"/>
                <w:color w:val="auto"/>
              </w:rPr>
            </w:pPr>
          </w:p>
        </w:tc>
        <w:tc>
          <w:tcPr>
            <w:tcW w:w="12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6"/>
              </w:rPr>
              <w:t>Callable</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31, 2028</w:t>
            </w:r>
          </w:p>
        </w:tc>
      </w:tr>
      <w:tr>
        <w:trPr>
          <w:trHeight w:val="229"/>
        </w:trPr>
        <w:tc>
          <w:tcPr>
            <w:tcW w:w="4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Unsecured Note Due August 2029</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5"/>
              </w:rPr>
              <w:t>8.00</w:t>
            </w:r>
          </w:p>
        </w:tc>
        <w:tc>
          <w:tcPr>
            <w:tcW w:w="2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8.80</w:t>
            </w:r>
          </w:p>
        </w:tc>
        <w:tc>
          <w:tcPr>
            <w:tcW w:w="28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6"/>
              </w:rPr>
              <w:t>Callable</w:t>
            </w:r>
          </w:p>
        </w:tc>
        <w:tc>
          <w:tcPr>
            <w:tcW w:w="14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August 8, 2029</w:t>
            </w:r>
          </w:p>
        </w:tc>
      </w:tr>
      <w:tr>
        <w:trPr>
          <w:trHeight w:val="22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 Weighted-Average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129,000</w:t>
            </w:r>
          </w:p>
        </w:tc>
        <w:tc>
          <w:tcPr>
            <w:tcW w:w="15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6.51%</w:t>
            </w:r>
          </w:p>
        </w:tc>
        <w:tc>
          <w:tcPr>
            <w:tcW w:w="13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7.14%</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3317875</wp:posOffset>
            </wp:positionH>
            <wp:positionV relativeFrom="paragraph">
              <wp:posOffset>-179070</wp:posOffset>
            </wp:positionV>
            <wp:extent cx="76835" cy="17970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835" cy="179705"/>
                    </a:xfrm>
                    <a:prstGeom prst="rect">
                      <a:avLst/>
                    </a:prstGeom>
                    <a:noFill/>
                  </pic:spPr>
                </pic:pic>
              </a:graphicData>
            </a:graphic>
          </wp:anchor>
        </w:drawing>
      </w:r>
    </w:p>
    <w:p>
      <w:pPr>
        <w:spacing w:after="0" w:line="83" w:lineRule="exact"/>
        <w:rPr>
          <w:sz w:val="20"/>
          <w:szCs w:val="20"/>
          <w:color w:val="auto"/>
        </w:rPr>
      </w:pPr>
    </w:p>
    <w:p>
      <w:pPr>
        <w:ind w:left="747" w:right="3640" w:hanging="747"/>
        <w:spacing w:after="0" w:line="375" w:lineRule="auto"/>
        <w:tabs>
          <w:tab w:leader="none" w:pos="3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effective interest rate on the Unsecured Notes includes deferred debt issuance cost amortization. </w:t>
      </w:r>
      <w:r>
        <w:rPr>
          <w:rFonts w:ascii="Times New Roman" w:cs="Times New Roman" w:eastAsia="Times New Roman" w:hAnsi="Times New Roman"/>
          <w:sz w:val="18"/>
          <w:szCs w:val="18"/>
          <w:u w:val="single" w:color="auto"/>
          <w:color w:val="auto"/>
        </w:rPr>
        <w:t>Natixis Facility</w:t>
      </w:r>
    </w:p>
    <w:p>
      <w:pPr>
        <w:spacing w:after="0" w:line="1" w:lineRule="exact"/>
        <w:rPr>
          <w:sz w:val="20"/>
          <w:szCs w:val="20"/>
          <w:color w:val="auto"/>
        </w:rPr>
      </w:pPr>
    </w:p>
    <w:p>
      <w:pPr>
        <w:ind w:left="7" w:right="100" w:firstLine="751"/>
        <w:spacing w:after="0" w:line="276" w:lineRule="auto"/>
        <w:rPr>
          <w:sz w:val="20"/>
          <w:szCs w:val="20"/>
          <w:color w:val="auto"/>
        </w:rPr>
      </w:pPr>
      <w:r>
        <w:rPr>
          <w:rFonts w:ascii="Times New Roman" w:cs="Times New Roman" w:eastAsia="Times New Roman" w:hAnsi="Times New Roman"/>
          <w:sz w:val="17"/>
          <w:szCs w:val="17"/>
          <w:color w:val="auto"/>
        </w:rPr>
        <w:t>On February 18, 2026, OFSCC-FS entered into the Natixis Facility, which provides for borrowings in an aggregate principal amount up to $80.0 million. Borrowings under the Natixis Facility bear interest at a rate based on SOFR plus a margin of 2.35%. The Natixis Facility also includes a fee of</w:t>
      </w:r>
    </w:p>
    <w:p>
      <w:pPr>
        <w:spacing w:after="0" w:line="1" w:lineRule="exact"/>
        <w:rPr>
          <w:sz w:val="20"/>
          <w:szCs w:val="20"/>
          <w:color w:val="auto"/>
        </w:rPr>
      </w:pPr>
    </w:p>
    <w:p>
      <w:pPr>
        <w:ind w:left="7" w:right="280"/>
        <w:spacing w:after="0" w:line="260" w:lineRule="auto"/>
        <w:rPr>
          <w:sz w:val="20"/>
          <w:szCs w:val="20"/>
          <w:color w:val="auto"/>
        </w:rPr>
      </w:pPr>
      <w:r>
        <w:rPr>
          <w:rFonts w:ascii="Times New Roman" w:cs="Times New Roman" w:eastAsia="Times New Roman" w:hAnsi="Times New Roman"/>
          <w:sz w:val="18"/>
          <w:szCs w:val="18"/>
          <w:color w:val="auto"/>
        </w:rPr>
        <w:t>0.40% on the unused amount of the facility, as well as an arranger fee of 0.20% on the total commitment amount of the facility. The reinvestment period during which OFSCC-FS is permitted to borrow terminates on February 18, 2029, and the facility is scheduled to mature on February 18, 2031.</w:t>
      </w:r>
    </w:p>
    <w:p>
      <w:pPr>
        <w:spacing w:after="0" w:line="46" w:lineRule="exact"/>
        <w:rPr>
          <w:sz w:val="20"/>
          <w:szCs w:val="20"/>
          <w:color w:val="auto"/>
        </w:rPr>
      </w:pPr>
    </w:p>
    <w:p>
      <w:pPr>
        <w:ind w:left="7" w:right="380" w:firstLine="751"/>
        <w:spacing w:after="0" w:line="282" w:lineRule="auto"/>
        <w:rPr>
          <w:sz w:val="20"/>
          <w:szCs w:val="20"/>
          <w:color w:val="auto"/>
        </w:rPr>
      </w:pPr>
      <w:r>
        <w:rPr>
          <w:rFonts w:ascii="Times New Roman" w:cs="Times New Roman" w:eastAsia="Times New Roman" w:hAnsi="Times New Roman"/>
          <w:sz w:val="18"/>
          <w:szCs w:val="18"/>
          <w:color w:val="auto"/>
        </w:rPr>
        <w:t>As of September 30, 2026, the Natixis Facility had outstanding debt of $25.4 million, the unused commitment under the Natixis Facility was $54.6 million, subject to a borrowing base and other covenants, and the stated interest rate on the Natixis Facility was 6.34%.</w:t>
      </w:r>
    </w:p>
    <w:p>
      <w:pPr>
        <w:spacing w:after="0" w:line="54" w:lineRule="exact"/>
        <w:rPr>
          <w:sz w:val="20"/>
          <w:szCs w:val="20"/>
          <w:color w:val="auto"/>
        </w:rPr>
      </w:pPr>
    </w:p>
    <w:p>
      <w:pPr>
        <w:jc w:val="both"/>
        <w:ind w:left="7" w:right="180" w:firstLine="751"/>
        <w:spacing w:after="0" w:line="261" w:lineRule="auto"/>
        <w:rPr>
          <w:sz w:val="20"/>
          <w:szCs w:val="20"/>
          <w:color w:val="auto"/>
        </w:rPr>
      </w:pPr>
      <w:r>
        <w:rPr>
          <w:rFonts w:ascii="Times New Roman" w:cs="Times New Roman" w:eastAsia="Times New Roman" w:hAnsi="Times New Roman"/>
          <w:sz w:val="18"/>
          <w:szCs w:val="18"/>
          <w:color w:val="auto"/>
        </w:rPr>
        <w:t>Borrowings under the Natixis Facility are secured by substantially all of the assets held by OFSCC-FS, which were $82.6 million at September 30, 2026. Our use of cash and cash equivalents held by OFSCC-FS is limited by the terms and conditions of the Natixis Facility, including but not limited to, the payment of interest expense and principal on the outstanding borrowings. As of September 30, 2026 and December 31, 2025, OFSCC-FS had cash and cash equivalents of $1.7 million and $2.4 million, respectively.</w:t>
      </w:r>
    </w:p>
    <w:p>
      <w:pPr>
        <w:spacing w:after="0" w:line="72"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18"/>
          <w:szCs w:val="18"/>
          <w:u w:val="single" w:color="auto"/>
          <w:color w:val="auto"/>
        </w:rPr>
        <w:t>BNP Facility</w:t>
      </w:r>
    </w:p>
    <w:p>
      <w:pPr>
        <w:spacing w:after="0" w:line="117" w:lineRule="exact"/>
        <w:rPr>
          <w:sz w:val="20"/>
          <w:szCs w:val="20"/>
          <w:color w:val="auto"/>
        </w:rPr>
      </w:pPr>
    </w:p>
    <w:p>
      <w:pPr>
        <w:jc w:val="both"/>
        <w:ind w:left="7" w:firstLine="751"/>
        <w:spacing w:after="0" w:line="266" w:lineRule="auto"/>
        <w:rPr>
          <w:sz w:val="20"/>
          <w:szCs w:val="20"/>
          <w:color w:val="auto"/>
        </w:rPr>
      </w:pPr>
      <w:r>
        <w:rPr>
          <w:rFonts w:ascii="Times New Roman" w:cs="Times New Roman" w:eastAsia="Times New Roman" w:hAnsi="Times New Roman"/>
          <w:sz w:val="18"/>
          <w:szCs w:val="18"/>
          <w:color w:val="auto"/>
        </w:rPr>
        <w:t>On June 20, 2019, OFSCC-FS entered into the BNP Facility, which provided for borrowings in an aggregate principal amount up to $80.0 million during its reinvestment period. Borrowings under the BNP Facility bore interest at a variable rate of SOFR plus a variable margin (2.65% floor), which was determined on the basis of industry-recognized portfolio company metrics at the time of funding.</w:t>
      </w:r>
    </w:p>
    <w:p>
      <w:pPr>
        <w:spacing w:after="0" w:line="68" w:lineRule="exact"/>
        <w:rPr>
          <w:sz w:val="20"/>
          <w:szCs w:val="20"/>
          <w:color w:val="auto"/>
        </w:rPr>
      </w:pPr>
    </w:p>
    <w:p>
      <w:pPr>
        <w:ind w:left="7" w:right="540" w:firstLine="751"/>
        <w:spacing w:after="0" w:line="282" w:lineRule="auto"/>
        <w:rPr>
          <w:sz w:val="20"/>
          <w:szCs w:val="20"/>
          <w:color w:val="auto"/>
        </w:rPr>
      </w:pPr>
      <w:r>
        <w:rPr>
          <w:rFonts w:ascii="Times New Roman" w:cs="Times New Roman" w:eastAsia="Times New Roman" w:hAnsi="Times New Roman"/>
          <w:sz w:val="18"/>
          <w:szCs w:val="18"/>
          <w:color w:val="auto"/>
        </w:rPr>
        <w:t>On February 18, 2026, in connection with the closing of the Natixis Facility, OFSCC-FS repaid in full all outstanding obligations due, and terminated all commitments, under the BNP Facility. All liens securing the BNP Facility were released upon such repayment.</w:t>
      </w:r>
    </w:p>
    <w:p>
      <w:pPr>
        <w:spacing w:after="0" w:line="54" w:lineRule="exact"/>
        <w:rPr>
          <w:sz w:val="20"/>
          <w:szCs w:val="20"/>
          <w:color w:val="auto"/>
        </w:rPr>
      </w:pPr>
    </w:p>
    <w:p>
      <w:pPr>
        <w:ind w:left="7" w:right="640" w:firstLine="751"/>
        <w:spacing w:after="0" w:line="263" w:lineRule="auto"/>
        <w:rPr>
          <w:sz w:val="20"/>
          <w:szCs w:val="20"/>
          <w:color w:val="auto"/>
        </w:rPr>
      </w:pPr>
      <w:r>
        <w:rPr>
          <w:rFonts w:ascii="Times New Roman" w:cs="Times New Roman" w:eastAsia="Times New Roman" w:hAnsi="Times New Roman"/>
          <w:sz w:val="18"/>
          <w:szCs w:val="18"/>
          <w:color w:val="auto"/>
        </w:rPr>
        <w:t>The following table shows the scheduled maturities of the principal balances of our outstanding borrowings as of September 30, 2026 (in thousands):</w:t>
      </w:r>
    </w:p>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6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4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2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 to 3 years</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 to 5 years</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After 5 years</w:t>
            </w:r>
          </w:p>
        </w:tc>
        <w:tc>
          <w:tcPr>
            <w:tcW w:w="100" w:type="dxa"/>
            <w:vAlign w:val="bottom"/>
          </w:tcPr>
          <w:p>
            <w:pPr>
              <w:spacing w:after="0"/>
              <w:rPr>
                <w:sz w:val="20"/>
                <w:szCs w:val="20"/>
                <w:color w:val="auto"/>
              </w:rPr>
            </w:pPr>
          </w:p>
        </w:tc>
      </w:tr>
      <w:tr>
        <w:trPr>
          <w:trHeight w:val="237"/>
        </w:trPr>
        <w:tc>
          <w:tcPr>
            <w:tcW w:w="4860" w:type="dxa"/>
            <w:vAlign w:val="bottom"/>
            <w:shd w:val="clear" w:color="auto" w:fill="CFF0FC"/>
          </w:tcPr>
          <w:p>
            <w:pPr>
              <w:spacing w:after="0" w:line="236" w:lineRule="exact"/>
              <w:rPr>
                <w:sz w:val="20"/>
                <w:szCs w:val="20"/>
                <w:color w:val="auto"/>
              </w:rPr>
            </w:pPr>
            <w:r>
              <w:rPr>
                <w:rFonts w:ascii="Times New Roman" w:cs="Times New Roman" w:eastAsia="Times New Roman" w:hAnsi="Times New Roman"/>
                <w:sz w:val="18"/>
                <w:szCs w:val="18"/>
                <w:color w:val="auto"/>
              </w:rPr>
              <w:t>Banc of California Credit Facility</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0"/>
                <w:szCs w:val="20"/>
                <w:color w:val="auto"/>
              </w:rPr>
            </w:pP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Natixis Facility</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r>
      <w:tr>
        <w:trPr>
          <w:trHeight w:val="230"/>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Unsecured Notes</w:t>
            </w: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129,000</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129,000</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154,400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129,000</w:t>
            </w:r>
          </w:p>
        </w:tc>
        <w:tc>
          <w:tcPr>
            <w:tcW w:w="6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3754755</wp:posOffset>
            </wp:positionH>
            <wp:positionV relativeFrom="paragraph">
              <wp:posOffset>-179070</wp:posOffset>
            </wp:positionV>
            <wp:extent cx="68580" cy="1797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4560570</wp:posOffset>
            </wp:positionH>
            <wp:positionV relativeFrom="paragraph">
              <wp:posOffset>-179070</wp:posOffset>
            </wp:positionV>
            <wp:extent cx="68580" cy="1797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5366385</wp:posOffset>
            </wp:positionH>
            <wp:positionV relativeFrom="paragraph">
              <wp:posOffset>-179070</wp:posOffset>
            </wp:positionV>
            <wp:extent cx="77470" cy="1797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6180455</wp:posOffset>
            </wp:positionH>
            <wp:positionV relativeFrom="paragraph">
              <wp:posOffset>-179070</wp:posOffset>
            </wp:positionV>
            <wp:extent cx="68580" cy="17970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7089140</wp:posOffset>
            </wp:positionH>
            <wp:positionV relativeFrom="paragraph">
              <wp:posOffset>-179070</wp:posOffset>
            </wp:positionV>
            <wp:extent cx="68580" cy="1797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70" w:lineRule="exact"/>
        <w:rPr>
          <w:sz w:val="20"/>
          <w:szCs w:val="20"/>
          <w:color w:val="auto"/>
        </w:rPr>
      </w:pPr>
    </w:p>
    <w:p>
      <w:pPr>
        <w:ind w:left="247" w:hanging="247"/>
        <w:spacing w:after="0"/>
        <w:tabs>
          <w:tab w:leader="none" w:pos="24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2026, the Banc of California Credit Facility had no outstanding balance and is scheduled to mature on February 28, 2028.</w:t>
      </w:r>
    </w:p>
    <w:p>
      <w:pPr>
        <w:spacing w:after="0" w:line="113" w:lineRule="exact"/>
        <w:rPr>
          <w:rFonts w:ascii="Times New Roman" w:cs="Times New Roman" w:eastAsia="Times New Roman" w:hAnsi="Times New Roman"/>
          <w:sz w:val="18"/>
          <w:szCs w:val="18"/>
          <w:color w:val="auto"/>
        </w:rPr>
      </w:pPr>
    </w:p>
    <w:p>
      <w:pPr>
        <w:ind w:left="74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Liquidity Matters</w:t>
      </w:r>
    </w:p>
    <w:p>
      <w:pPr>
        <w:spacing w:after="0" w:line="121" w:lineRule="exact"/>
        <w:rPr>
          <w:sz w:val="20"/>
          <w:szCs w:val="20"/>
          <w:color w:val="auto"/>
        </w:rPr>
      </w:pPr>
    </w:p>
    <w:p>
      <w:pPr>
        <w:ind w:left="7" w:right="60" w:firstLine="751"/>
        <w:spacing w:after="0" w:line="256" w:lineRule="auto"/>
        <w:rPr>
          <w:sz w:val="20"/>
          <w:szCs w:val="20"/>
          <w:color w:val="auto"/>
        </w:rPr>
      </w:pPr>
      <w:r>
        <w:rPr>
          <w:rFonts w:ascii="Times New Roman" w:cs="Times New Roman" w:eastAsia="Times New Roman" w:hAnsi="Times New Roman"/>
          <w:sz w:val="18"/>
          <w:szCs w:val="18"/>
          <w:color w:val="auto"/>
        </w:rPr>
        <w:t>We expect to fund the growth of our investment portfolio utilizing our current borrowings, follow-on equity offerings, and issuances of senior securities or future borrowings to the extent permitted by the 1940 Act. We cannot assure stockholders that our plans to raise capital will be successful or available to us on favorable terms, if at all. In addition, we intend to distribute to our stockholders substantially all of our taxable income in order to satisfy the requirements applicable to RICs under Subchapter M of the Code. Consequently, we may not have the funds or the ability to fund new investments or make additional investments in our portfolio companies. The illiquidity of our portfolio investments, in particular, equity investments, may make it difficult for us to sell these</w:t>
      </w:r>
    </w:p>
    <w:p>
      <w:pPr>
        <w:spacing w:after="0" w:line="18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088" w:right="318" w:bottom="1440" w:gutter="0" w:footer="0" w:header="0"/>
        </w:sectPr>
      </w:pPr>
    </w:p>
    <w:bookmarkStart w:id="60" w:name="page61"/>
    <w:bookmarkEnd w:id="60"/>
    <w:p>
      <w:pPr>
        <w:ind w:right="280"/>
        <w:spacing w:after="0" w:line="282" w:lineRule="auto"/>
        <w:rPr>
          <w:sz w:val="20"/>
          <w:szCs w:val="20"/>
          <w:color w:val="auto"/>
        </w:rPr>
      </w:pPr>
      <w:r>
        <w:rPr>
          <w:rFonts w:ascii="Times New Roman" w:cs="Times New Roman" w:eastAsia="Times New Roman" w:hAnsi="Times New Roman"/>
          <w:sz w:val="18"/>
          <w:szCs w:val="18"/>
          <w:color w:val="auto"/>
        </w:rPr>
        <w:t>investments when desired and, if we are required to sell these investments, we may realize significantly less than their recorded value and incur a capital loss.</w:t>
      </w:r>
    </w:p>
    <w:p>
      <w:pPr>
        <w:spacing w:after="0" w:line="54" w:lineRule="exact"/>
        <w:rPr>
          <w:sz w:val="20"/>
          <w:szCs w:val="20"/>
          <w:color w:val="auto"/>
        </w:rPr>
      </w:pPr>
    </w:p>
    <w:p>
      <w:pPr>
        <w:ind w:firstLine="751"/>
        <w:spacing w:after="0" w:line="253" w:lineRule="auto"/>
        <w:rPr>
          <w:sz w:val="20"/>
          <w:szCs w:val="20"/>
          <w:color w:val="auto"/>
        </w:rPr>
      </w:pPr>
      <w:r>
        <w:rPr>
          <w:rFonts w:ascii="Times New Roman" w:cs="Times New Roman" w:eastAsia="Times New Roman" w:hAnsi="Times New Roman"/>
          <w:sz w:val="18"/>
          <w:szCs w:val="18"/>
          <w:color w:val="auto"/>
        </w:rPr>
        <w:t>As a BDC, we must not acquire any assets other than “qualifying assets” specified in the 1940 Act unless, at the time the acquisition is made, at least 70% of our assets, as defined by the 1940 Act, are qualifying assets (with certain limited exceptions). Qualifying assets include investments in “eligible portfolio companies.” Under the relevant SEC rules, the term “eligible portfolio company” includes all private companies, companies whose securities are not listed on a national securities exchange, and certain public companies that have listed their securities on a national securities exchange and have a market capitalization of less than $250 million, in each case organized in the United States. Conversely, we may invest up to 30% of our portfolio in opportunistic investments not otherwise eligible under BDC regulations. Specifically, as part of this 30% basket, we may consider investments in investment funds that are operating pursuant to certain exceptions to the 1940 Act and in advisers to similar investment funds, as well as in debt or equity of middle-market portfolio companies located outside of the United States and debt and equity of public companies that do not meet the definition of eligible portfolio companies because their market capitalization of publicly traded equity securities exceeds the levels provided for in the 1940 Act. We have, and may continue to, make opportunistic investments in Structured Finance Securities and other non-qualifying assets, consistent with our investment strategy. Investments in Structured Finance Securities are generally made in non-U.S. entities and are not operating companies and, therefore, are generally deemed to be non-qualifying. As of September 30, 2026, approximately 89% of our investments were qualifying assets.</w:t>
      </w:r>
    </w:p>
    <w:p>
      <w:pPr>
        <w:spacing w:after="0" w:line="82" w:lineRule="exact"/>
        <w:rPr>
          <w:sz w:val="20"/>
          <w:szCs w:val="20"/>
          <w:color w:val="auto"/>
        </w:rPr>
      </w:pPr>
    </w:p>
    <w:p>
      <w:pPr>
        <w:ind w:right="380" w:firstLine="751"/>
        <w:spacing w:after="0" w:line="261" w:lineRule="auto"/>
        <w:rPr>
          <w:sz w:val="20"/>
          <w:szCs w:val="20"/>
          <w:color w:val="auto"/>
        </w:rPr>
      </w:pPr>
      <w:r>
        <w:rPr>
          <w:rFonts w:ascii="Times New Roman" w:cs="Times New Roman" w:eastAsia="Times New Roman" w:hAnsi="Times New Roman"/>
          <w:sz w:val="18"/>
          <w:szCs w:val="18"/>
          <w:color w:val="auto"/>
        </w:rPr>
        <w:t>On May 3, 2018, our Board, including a required majority (as such term is defined in Section 57(o) of the 1940 Act) thereof, approved the application of the modified asset coverage requirements set forth in Section 61(a)(2) of the 1940 Act. As a result, effective May 3, 2019, our minimum required asset coverage ratio decreased from 200% to 150%. As of September 30, 2026, our asset coverage ratio of 164% exceeded the minimum asset coverage requirement of 150% under the 1940 Act.</w:t>
      </w:r>
    </w:p>
    <w:p>
      <w:pPr>
        <w:spacing w:after="0" w:line="72" w:lineRule="exact"/>
        <w:rPr>
          <w:sz w:val="20"/>
          <w:szCs w:val="20"/>
          <w:color w:val="auto"/>
        </w:rPr>
      </w:pPr>
    </w:p>
    <w:p>
      <w:pPr>
        <w:ind w:right="40" w:firstLine="751"/>
        <w:spacing w:after="0" w:line="253" w:lineRule="auto"/>
        <w:rPr>
          <w:sz w:val="20"/>
          <w:szCs w:val="20"/>
          <w:color w:val="auto"/>
        </w:rPr>
      </w:pPr>
      <w:r>
        <w:rPr>
          <w:rFonts w:ascii="Times New Roman" w:cs="Times New Roman" w:eastAsia="Times New Roman" w:hAnsi="Times New Roman"/>
          <w:sz w:val="18"/>
          <w:szCs w:val="18"/>
          <w:color w:val="auto"/>
        </w:rPr>
        <w:t>On May 22, 2018, the Board authorized the Stock Repurchase Program under which we could acquire up to $10.0 million of our outstanding common stock through the two-year period ended May 22, 2020. On each of May 4, 2020, May 3, 2022 and April 30, 2024, our Board extended the Stock Repurchase Program for additional two-year periods. On April 28, 2026, our Board extended the Stock Repurchase Program for the two-year period ending on May 22, 2028. Under the extended Stock Repurchase Program, we are authorized to repurchase shares in open-market transactions, including through block purchases, depending on prevailing market conditions and other factors. We expect the Stock Repurchase Program to be in place through May 22, 2028, or until the approved dollar amount has been used to repurchase shares. The Stock Repurchase Program does not obligate us to acquire any specific number of shares, and all repurchases will be made in accordance with SEC Rule 10b-18, which sets certain restrictions on the method, timing, price and volume of stock repurchases. The Stock Repurchase Program may be extended, modified or discontinued at any time for any reason. We have provided our stockholders with notice of our intention to repurchase shares of our common stock in accordance with 1940 Act requirements. We retire all shares of common stock that we purchased in connection with the Stock Repurchase Program. During the nine months ended September 30, 2026, we did not make any repurchases of common stock on the open market under the Stock Repurchase Program. As of September 30, 2026, the approximate dollar value of shares remaining that may be purchased under the program was $9.6 million.</w:t>
      </w:r>
    </w:p>
    <w:p>
      <w:pPr>
        <w:spacing w:after="0" w:line="82" w:lineRule="exact"/>
        <w:rPr>
          <w:sz w:val="20"/>
          <w:szCs w:val="20"/>
          <w:color w:val="auto"/>
        </w:rPr>
      </w:pPr>
    </w:p>
    <w:p>
      <w:pPr>
        <w:ind w:firstLine="751"/>
        <w:spacing w:after="0" w:line="261" w:lineRule="auto"/>
        <w:rPr>
          <w:sz w:val="20"/>
          <w:szCs w:val="20"/>
          <w:color w:val="auto"/>
        </w:rPr>
      </w:pPr>
      <w:r>
        <w:rPr>
          <w:rFonts w:ascii="Times New Roman" w:cs="Times New Roman" w:eastAsia="Times New Roman" w:hAnsi="Times New Roman"/>
          <w:sz w:val="18"/>
          <w:szCs w:val="18"/>
          <w:color w:val="auto"/>
        </w:rPr>
        <w:t>We continue to monitor the current banking environment. If the banks and financial institutions with whom we have credit facilities enter into receivership, undergo consolidation or become insolvent in the future, our liquidity may be reduced significantly. At various times, our cash balances at third-party financial institutions exceed the federally insured limit. Our cash and cash equivalent balances are retained in custodian accounts with U.S. Bank Trust Company, National Association and Citibank N.A., and we do not believe they are exposed to any significant credit risk.</w:t>
      </w:r>
    </w:p>
    <w:p>
      <w:pPr>
        <w:spacing w:after="0" w:line="6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u w:val="single" w:color="auto"/>
          <w:color w:val="auto"/>
        </w:rPr>
        <w:t>Contractual Obligations</w:t>
      </w:r>
    </w:p>
    <w:p>
      <w:pPr>
        <w:spacing w:after="0" w:line="117" w:lineRule="exact"/>
        <w:rPr>
          <w:sz w:val="20"/>
          <w:szCs w:val="20"/>
          <w:color w:val="auto"/>
        </w:rPr>
      </w:pPr>
    </w:p>
    <w:p>
      <w:pPr>
        <w:ind w:right="60" w:firstLine="751"/>
        <w:spacing w:after="0" w:line="261" w:lineRule="auto"/>
        <w:rPr>
          <w:sz w:val="20"/>
          <w:szCs w:val="20"/>
          <w:color w:val="auto"/>
        </w:rPr>
      </w:pPr>
      <w:r>
        <w:rPr>
          <w:rFonts w:ascii="Times New Roman" w:cs="Times New Roman" w:eastAsia="Times New Roman" w:hAnsi="Times New Roman"/>
          <w:sz w:val="18"/>
          <w:szCs w:val="18"/>
          <w:color w:val="auto"/>
        </w:rPr>
        <w:t>As of September 30, 2026, we had $3.1 million of cash and cash equivalents, as well as unused commitments of $15.0 million under our Banc of California Credit Facility and $54.6 million under our Natixis Facility, respectively, to meet our short-term contractual obligations, subject to contractual requirements and regulatory asset coverage requirements. As of September 30, 2026, we had $4.0 million in unfunded commitments to fund portfolio investments that can be funded with our current cash or credit facilities.</w:t>
      </w:r>
    </w:p>
    <w:p>
      <w:pPr>
        <w:spacing w:after="0" w:line="72" w:lineRule="exact"/>
        <w:rPr>
          <w:sz w:val="20"/>
          <w:szCs w:val="20"/>
          <w:color w:val="auto"/>
        </w:rPr>
      </w:pPr>
    </w:p>
    <w:p>
      <w:pPr>
        <w:ind w:right="200" w:firstLine="751"/>
        <w:spacing w:after="0" w:line="282" w:lineRule="auto"/>
        <w:rPr>
          <w:sz w:val="20"/>
          <w:szCs w:val="20"/>
          <w:color w:val="auto"/>
        </w:rPr>
      </w:pPr>
      <w:r>
        <w:rPr>
          <w:rFonts w:ascii="Times New Roman" w:cs="Times New Roman" w:eastAsia="Times New Roman" w:hAnsi="Times New Roman"/>
          <w:sz w:val="18"/>
          <w:szCs w:val="18"/>
          <w:color w:val="auto"/>
        </w:rPr>
        <w:t>Following the maturity extension of our Banc of California Credit Facility in January 2026, the final repayment of our 4.75% Unsecured Notes Due February 2026, and the execution of our Natixis Facility in February 2026, we do not have any debt maturities until February 2028.</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088" w:right="338" w:bottom="1440" w:gutter="0" w:footer="0" w:header="0"/>
        </w:sectPr>
      </w:pPr>
    </w:p>
    <w:bookmarkStart w:id="61" w:name="page62"/>
    <w:bookmarkEnd w:id="61"/>
    <w:p>
      <w:pPr>
        <w:ind w:right="20" w:firstLine="751"/>
        <w:spacing w:after="0" w:line="255" w:lineRule="auto"/>
        <w:rPr>
          <w:sz w:val="20"/>
          <w:szCs w:val="20"/>
          <w:color w:val="auto"/>
        </w:rPr>
      </w:pPr>
      <w:r>
        <w:rPr>
          <w:rFonts w:ascii="Times New Roman" w:cs="Times New Roman" w:eastAsia="Times New Roman" w:hAnsi="Times New Roman"/>
          <w:sz w:val="18"/>
          <w:szCs w:val="18"/>
          <w:color w:val="auto"/>
        </w:rPr>
        <w:t>Long-term contractual obligations, such as our Natixis Facility that matures in 2031 and had $25.4 million outstanding as of September 30, 2026, could be repaid by selling OFSCC-FS portfolio investments that have a fair value of $79.5 million as of September 30, 2026. A portion of the OFSCC-FS portfolio includes broadly syndicated loans in larger portfolio companies that generally can be sold over a relatively short period to generate cash. As of September 30, 2026, the broadly syndicated loan investments in the OFSCC-FS portfolio totaled $20.5 million at fair value. We cannot, however, be certain that this source of funds will be available and upon terms acceptable to us in sufficient amounts in the future. If we were required to liquidate a portfolio investment in a forced or liquidation sale, we could realize significantly less than its current fair value and incur significant realized losses on our invested capital.</w:t>
      </w:r>
    </w:p>
    <w:p>
      <w:pPr>
        <w:spacing w:after="0" w:line="81" w:lineRule="exact"/>
        <w:rPr>
          <w:sz w:val="20"/>
          <w:szCs w:val="20"/>
          <w:color w:val="auto"/>
        </w:rPr>
      </w:pPr>
    </w:p>
    <w:p>
      <w:pPr>
        <w:ind w:right="100" w:firstLine="751"/>
        <w:spacing w:after="0" w:line="261" w:lineRule="auto"/>
        <w:rPr>
          <w:sz w:val="20"/>
          <w:szCs w:val="20"/>
          <w:color w:val="auto"/>
        </w:rPr>
      </w:pPr>
      <w:r>
        <w:rPr>
          <w:rFonts w:ascii="Times New Roman" w:cs="Times New Roman" w:eastAsia="Times New Roman" w:hAnsi="Times New Roman"/>
          <w:sz w:val="18"/>
          <w:szCs w:val="18"/>
          <w:color w:val="auto"/>
        </w:rPr>
        <w:t>As of September 30, 2026, we had $129.0 million of outstanding Unsecured Notes, of which $104.0 million matures in 2028 and $25.0 million matures in 2029. The Unsecured Notes can be repaid by issuing additional senior securities to refinance the debt or by selling portfolio investments, although there is no guarantee that there would be a market for additional senior securities or that we would be able to generate sufficient liquidity to repay such amounts.</w:t>
      </w:r>
    </w:p>
    <w:p>
      <w:pPr>
        <w:spacing w:after="0" w:line="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u w:val="single" w:color="auto"/>
          <w:color w:val="auto"/>
        </w:rPr>
        <w:t>Off-Balance Sheet Arrangements</w:t>
      </w:r>
    </w:p>
    <w:p>
      <w:pPr>
        <w:spacing w:after="0" w:line="117" w:lineRule="exact"/>
        <w:rPr>
          <w:sz w:val="20"/>
          <w:szCs w:val="20"/>
          <w:color w:val="auto"/>
        </w:rPr>
      </w:pPr>
    </w:p>
    <w:p>
      <w:pPr>
        <w:jc w:val="both"/>
        <w:ind w:right="360" w:firstLine="751"/>
        <w:spacing w:after="0" w:line="266" w:lineRule="auto"/>
        <w:rPr>
          <w:sz w:val="20"/>
          <w:szCs w:val="20"/>
          <w:color w:val="auto"/>
        </w:rPr>
      </w:pPr>
      <w:r>
        <w:rPr>
          <w:rFonts w:ascii="Times New Roman" w:cs="Times New Roman" w:eastAsia="Times New Roman" w:hAnsi="Times New Roman"/>
          <w:sz w:val="18"/>
          <w:szCs w:val="18"/>
          <w:color w:val="auto"/>
        </w:rPr>
        <w:t>We have entered into contracts with third parties under which we have material future commitments — the Investment Advisory Agreement, pursuant to which OFS Advisor has agreed to serve as our investment adviser, and the Administration Agreement, pursuant to which OFS Services has agreed to furnish us with the facilities and administrative services necessary to conduct our day-to-day operations.</w:t>
      </w:r>
    </w:p>
    <w:p>
      <w:pPr>
        <w:spacing w:after="0" w:line="68" w:lineRule="exact"/>
        <w:rPr>
          <w:sz w:val="20"/>
          <w:szCs w:val="20"/>
          <w:color w:val="auto"/>
        </w:rPr>
      </w:pPr>
    </w:p>
    <w:p>
      <w:pPr>
        <w:jc w:val="both"/>
        <w:ind w:right="40" w:firstLine="751"/>
        <w:spacing w:after="0" w:line="258" w:lineRule="auto"/>
        <w:rPr>
          <w:sz w:val="20"/>
          <w:szCs w:val="20"/>
          <w:color w:val="auto"/>
        </w:rPr>
      </w:pPr>
      <w:r>
        <w:rPr>
          <w:rFonts w:ascii="Times New Roman" w:cs="Times New Roman" w:eastAsia="Times New Roman" w:hAnsi="Times New Roman"/>
          <w:sz w:val="18"/>
          <w:szCs w:val="18"/>
          <w:color w:val="auto"/>
        </w:rPr>
        <w:t>We may become a party to financial instruments with off-balance sheet risk in the normal course of business to meet the financial needs of our portfolio companies. These instruments may include commitments to extend credit and involve, to varying degrees, elements of liquidity and credit risk in excess of the amount recognized on the balance sheet. There is no guarantee that these amounts will be funded to the borrowing party now or in the future. We continue to believe that we have sufficient levels of liquidity to support our existing portfolio companies and will meet these unfunded commitments by using our cash on hand or utilizing our available borrowing capacity under the Banc of California Credit Facility and Natixis Facility.</w:t>
      </w:r>
    </w:p>
    <w:p>
      <w:pPr>
        <w:spacing w:after="0" w:line="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firstLine="751"/>
        <w:spacing w:after="0" w:line="252" w:lineRule="auto"/>
        <w:rPr>
          <w:sz w:val="20"/>
          <w:szCs w:val="20"/>
          <w:color w:val="auto"/>
        </w:rPr>
      </w:pPr>
      <w:r>
        <w:rPr>
          <w:rFonts w:ascii="Times New Roman" w:cs="Times New Roman" w:eastAsia="Times New Roman" w:hAnsi="Times New Roman"/>
          <w:sz w:val="18"/>
          <w:szCs w:val="18"/>
          <w:color w:val="auto"/>
        </w:rPr>
        <w:t>We are taxed as a RIC under the Code. In order to maintain our tax treatment as a RIC, we are required to distribute annually to our stockholders at least 90% of our ICTI, as defined by the Code. Additionally, to avoid a 4% excise tax on undistributed earnings we are required to distribute each calendar year the sum of: (i) 98% of our ordinary income for such calendar year; (ii) 98.2% of our net capital gains for the one-year period ending October 31 of that calendar year; and (iii) any income recognized, but not distributed, in preceding years and on which we paid no federal income tax. Maintenance of our RIC status requires adherence to certain source of income and asset diversification requirements. Generally, a RIC is entitled to deduct dividends it pays to its stockholders from its income to determine “taxable income.” Taxable income includes our taxable interest, dividend and fee income, and taxable net capital gains. Taxable income generally differs from net income for financial reporting purposes due to temporary and permanent differences in the recognition of income and expenses, and generally excludes net unrealized appreciation or depreciation, as gains or losses are not included in taxable income until they are realized. In addition, gains realized for financial reporting purposes may differ from gains included in taxable income as a result of our election to recognize gains using installment sale treatment, which generally results in the deferment of gains for tax purposes until notes or other amounts, including amounts held in escrow received as consideration from the sale of investments, are collected in cash. Taxable income includes non-cash income, such as changes in accrued and reinvested interest and dividends, which includes contractual PIK interest, and the amortization of discounts and fees. Cash collections of income resulting from contractual PIK interest and dividends or the amortization of discounts and fees generally occur upon the repayment of the loans or debt securities that include such items. Non-cash taxable income is reduced by non-cash expenses, such as realized losses and depreciation, and amortization expense.</w:t>
      </w:r>
    </w:p>
    <w:p>
      <w:pPr>
        <w:spacing w:after="0" w:line="88" w:lineRule="exact"/>
        <w:rPr>
          <w:sz w:val="20"/>
          <w:szCs w:val="20"/>
          <w:color w:val="auto"/>
        </w:rPr>
      </w:pPr>
    </w:p>
    <w:p>
      <w:pPr>
        <w:ind w:right="20" w:firstLine="751"/>
        <w:spacing w:after="0" w:line="253" w:lineRule="auto"/>
        <w:rPr>
          <w:sz w:val="20"/>
          <w:szCs w:val="20"/>
          <w:color w:val="auto"/>
        </w:rPr>
      </w:pPr>
      <w:r>
        <w:rPr>
          <w:rFonts w:ascii="Times New Roman" w:cs="Times New Roman" w:eastAsia="Times New Roman" w:hAnsi="Times New Roman"/>
          <w:sz w:val="18"/>
          <w:szCs w:val="18"/>
          <w:color w:val="auto"/>
        </w:rPr>
        <w:t>Our Board maintains a variable dividend policy with the objective of distributing quarterly distributions in an amount not less than 90% of our taxable quarterly income or potential annual income for a particular year. In addition, during the year, we may pay a special dividend, such that we may distribute approximately all of our annual taxable income in the year it was earned, while maintaining the option to spill over our excess taxable income to a following year. We may choose to retain a portion of our taxable income in any year and pay the 4% U.S. federal excise tax on the retained amounts. Distributions in excess of our current and accumulated ICTI would be treated first as a return of capital to the extent of the stockholder’s adjusted tax basis, and any remaining distributions would be treated as a capital gain. The determination of the tax attributes of our distributions is made annually as of the end of our fiscal year based upon our estimated ICTI for the full year and distributions paid for the full year. Each year, a statement on Form 1099-DIV identifying the source of the distribution is mailed to our stockholders. Return of capital distributions (or distributions in excess of ICTI) may permanently reduce our total net assets, and may require us to borrow funds or liquidate assets in order to cover the return of capital portion of the distribution. This could result in our leverage increasing and/or the size of our portfolio shrinking, both of which could lower future earnings on the portfolio.</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62" w:name="page63"/>
    <w:bookmarkEnd w:id="62"/>
    <w:p>
      <w:pPr>
        <w:ind w:left="7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Partial Monetization of Equity Interest</w:t>
      </w:r>
    </w:p>
    <w:p>
      <w:pPr>
        <w:spacing w:after="0" w:line="121" w:lineRule="exact"/>
        <w:rPr>
          <w:sz w:val="20"/>
          <w:szCs w:val="20"/>
          <w:color w:val="auto"/>
        </w:rPr>
      </w:pPr>
    </w:p>
    <w:p>
      <w:pPr>
        <w:ind w:right="120" w:firstLine="751"/>
        <w:spacing w:after="0" w:line="261" w:lineRule="auto"/>
        <w:rPr>
          <w:sz w:val="20"/>
          <w:szCs w:val="20"/>
          <w:color w:val="auto"/>
        </w:rPr>
      </w:pPr>
      <w:r>
        <w:rPr>
          <w:rFonts w:ascii="Times New Roman" w:cs="Times New Roman" w:eastAsia="Times New Roman" w:hAnsi="Times New Roman"/>
          <w:sz w:val="18"/>
          <w:szCs w:val="18"/>
          <w:color w:val="auto"/>
        </w:rPr>
        <w:t>On October 5, 2026, SBIC I LP admitted a third-party investor (the “New Investor”) as a limited partner, which acquired approximately 56.62% of the limited partnership interests of SBIC I LP. SBIC I LP holds 400 Class A shares of Pfanstiehl Holdings, Inc., a global manufacturer of high-purity pharmaceutical ingredients. The New Investor acquired its limited partnership interests in exchange for $52.3 million paid to SBIC I LP, the entirety of which was distributed to us. Following the transaction, SBIC I LP is no longer a wholly owned subsidiary of the Company.</w:t>
      </w:r>
    </w:p>
    <w:p>
      <w:pPr>
        <w:spacing w:after="0" w:line="72" w:lineRule="exact"/>
        <w:rPr>
          <w:sz w:val="20"/>
          <w:szCs w:val="20"/>
          <w:color w:val="auto"/>
        </w:rPr>
      </w:pPr>
    </w:p>
    <w:p>
      <w:pPr>
        <w:ind w:firstLine="751"/>
        <w:spacing w:after="0" w:line="254" w:lineRule="auto"/>
        <w:rPr>
          <w:sz w:val="20"/>
          <w:szCs w:val="20"/>
          <w:color w:val="auto"/>
        </w:rPr>
      </w:pPr>
      <w:r>
        <w:rPr>
          <w:rFonts w:ascii="Times New Roman" w:cs="Times New Roman" w:eastAsia="Times New Roman" w:hAnsi="Times New Roman"/>
          <w:sz w:val="18"/>
          <w:szCs w:val="18"/>
          <w:color w:val="auto"/>
        </w:rPr>
        <w:t>For U.S. federal income tax purposes, we estimate we will recognize a long-term capital gain of approximately $47 million, net of the proportional cost basis and transaction costs related to facilitating the transaction. We currently estimate that we have sufficient capital loss carryforwards to fully offset the capital gain resulting from the transaction, and thus no net capital gain, and no resulting capital gain distribution, is expected for tax year 2026. The current estimate of year-to-date 2026 U.S. federal taxable income is based on certain estimated amounts, including information received from third parties, and does not include certain income amounts that may be recognized in the remainder of the year. Accordingly, actual full-year 2026 U.S. federal taxable income will not be finally determined until our 2026 U.S. federal tax return is filed in 2027 (and, therefore, such estimate is subject to change). The determination of the tax attributes of our distributions is made annually as of the end of our fiscal year based upon our estimated taxable income and distributions paid for the full year. Each year, if required, a statement on Form 1099-DIV identifying the source of the distribution is mailed to our stockholders.</w:t>
      </w:r>
    </w:p>
    <w:p>
      <w:pPr>
        <w:spacing w:after="0" w:line="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firstLine="751"/>
        <w:spacing w:after="0" w:line="254" w:lineRule="auto"/>
        <w:rPr>
          <w:sz w:val="20"/>
          <w:szCs w:val="20"/>
          <w:color w:val="auto"/>
        </w:rPr>
      </w:pPr>
      <w:r>
        <w:rPr>
          <w:rFonts w:ascii="Times New Roman" w:cs="Times New Roman" w:eastAsia="Times New Roman" w:hAnsi="Times New Roman"/>
          <w:sz w:val="18"/>
          <w:szCs w:val="18"/>
          <w:color w:val="auto"/>
        </w:rPr>
        <w:t>On October 26, 2026, Pfanstiehl Holdings, Inc. filed a complaint in the Delaware Court of Chancery against SBIC I LP, our affiliate and former wholly owned subsidiary, and OFS SBIC I GP, LLC, its general partner and a wholly owned subsidiary of ours. The complaint challenges the transaction previously reported in our Current Report on Form 8-K filed on October 6, 2026 and asserts claims for (i) declaratory judgment that the transaction is void under the stockholder agreement governing SBIC I LP’s shares of Pfanstiehl Holdings, Inc., (ii) breach of that stockholder agreement, and (iii) breach of the implied covenant of good faith and fair dealing. The complaint seeks declaratory and injunctive relief (including an order unwinding the transaction) and unspecified damages, and fees and costs. We intend to defend the matter vigorously. Based on the information currently available, we cannot predict the outcome of this proceeding and are unable to reasonably estimate the possible loss or range of loss, if any. Costs associated with the litigation will be accrued and expensed as incurred. No amounts have been accrued as of September 30, 2026.</w:t>
      </w:r>
    </w:p>
    <w:p>
      <w:pPr>
        <w:spacing w:after="0" w:line="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Declaration of a Distribution</w:t>
      </w:r>
    </w:p>
    <w:p>
      <w:pPr>
        <w:spacing w:after="0" w:line="121" w:lineRule="exact"/>
        <w:rPr>
          <w:sz w:val="20"/>
          <w:szCs w:val="20"/>
          <w:color w:val="auto"/>
        </w:rPr>
      </w:pPr>
    </w:p>
    <w:p>
      <w:pPr>
        <w:ind w:right="780" w:firstLine="751"/>
        <w:spacing w:after="0" w:line="282" w:lineRule="auto"/>
        <w:rPr>
          <w:sz w:val="20"/>
          <w:szCs w:val="20"/>
          <w:color w:val="auto"/>
        </w:rPr>
      </w:pPr>
      <w:r>
        <w:rPr>
          <w:rFonts w:ascii="Times New Roman" w:cs="Times New Roman" w:eastAsia="Times New Roman" w:hAnsi="Times New Roman"/>
          <w:sz w:val="18"/>
          <w:szCs w:val="18"/>
          <w:color w:val="auto"/>
        </w:rPr>
        <w:t>On October 27, 2026, our Board declared a distribution of $0.17 per share for the fourth quarter of 2026, payable on January 7, 2027 to stockholders of record as of December 18,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4" w:right="318"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00" w:firstLine="751"/>
        <w:spacing w:after="0" w:line="254" w:lineRule="auto"/>
        <w:rPr>
          <w:sz w:val="20"/>
          <w:szCs w:val="20"/>
          <w:color w:val="auto"/>
        </w:rPr>
      </w:pPr>
      <w:r>
        <w:rPr>
          <w:rFonts w:ascii="Times New Roman" w:cs="Times New Roman" w:eastAsia="Times New Roman" w:hAnsi="Times New Roman"/>
          <w:sz w:val="18"/>
          <w:szCs w:val="18"/>
          <w:color w:val="auto"/>
        </w:rPr>
        <w:t>We are subject to financial market risks, including changes in interest rates and the valuations of our investment portfolio. The economic effects of the ongoing war between Russia and Ukraine, the escalated armed conflict and heightened regional tensions in the Middle East, activity in South America, interest rate changes and elevated inflation rates, ongoing supply chain and labor market disruptions, including those as a result of strikes, work stoppages or accidents, the agenda of the U.S. presidential administration, including the impact of tariff enactment and tax reductions, trade disputes with other countries, instability in the U.S. and international banking systems and the risk of recession or the impact of the prolonged shutdown of U.S. government services have introduced significant volatility in the financial markets, and the effects of this volatility have impacted and could continue to impact our market risks. For additional information concerning risks and their potential impact on our business and our operating results, see “Part I—Item 1A. Risk Factors” in our Annual Report on Form 10-K for the fiscal year ended December 31, 2025, filed on March 3, 2026.</w:t>
      </w:r>
    </w:p>
    <w:p>
      <w:pPr>
        <w:spacing w:after="0" w:line="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Investment Valuation Risk</w:t>
      </w:r>
    </w:p>
    <w:p>
      <w:pPr>
        <w:spacing w:after="0" w:line="121" w:lineRule="exact"/>
        <w:rPr>
          <w:sz w:val="20"/>
          <w:szCs w:val="20"/>
          <w:color w:val="auto"/>
        </w:rPr>
      </w:pPr>
    </w:p>
    <w:p>
      <w:pPr>
        <w:ind w:firstLine="751"/>
        <w:spacing w:after="0" w:line="253" w:lineRule="auto"/>
        <w:rPr>
          <w:sz w:val="20"/>
          <w:szCs w:val="20"/>
          <w:color w:val="auto"/>
        </w:rPr>
      </w:pPr>
      <w:r>
        <w:rPr>
          <w:rFonts w:ascii="Times New Roman" w:cs="Times New Roman" w:eastAsia="Times New Roman" w:hAnsi="Times New Roman"/>
          <w:sz w:val="18"/>
          <w:szCs w:val="18"/>
          <w:color w:val="auto"/>
        </w:rPr>
        <w:t>Because there is not a readily available market value for most of the investments in our portfolio, we value a significant portion of our portfolio investments at fair value as determined in good faith by OFS Advisor, as valuation designee, based, in part, on independent third-party valuation firms that have been engaged at the direction of OFS Advisor to assist in the valuation of most portfolio investments without a readily available market quotation. Due to the inherent uncertainty of determining the fair value of investments that do not have a readily available market value, the fair value of our investments may fluctuate significantly from period-to-period. Additionally, the fair value of our investments may differ significantly from the values that would have been used had a ready market existed for such investments and may differ materially from the values that we may ultimately realize. Further, some investments may be subject to legal and other restrictions on resale or otherwise are less liquid than publicly traded securities. If we were required to liquidate a portfolio investment in a forced or liquidation sale, we could realize significantly less than its current fair value. See “Management’s Discussion and Analysis of Financial Condition and Results of Operations—Critical Accounting Policies and Significant Estimates” as well as Notes 2 and 5 to our consolidated financial statements for the nine months ended September 30, 2026 for more information relating to our investment valuation.</w:t>
      </w:r>
    </w:p>
    <w:p>
      <w:pPr>
        <w:spacing w:after="0" w:line="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20" w:firstLine="751"/>
        <w:spacing w:after="0" w:line="254" w:lineRule="auto"/>
        <w:rPr>
          <w:sz w:val="20"/>
          <w:szCs w:val="20"/>
          <w:color w:val="auto"/>
        </w:rPr>
      </w:pPr>
      <w:r>
        <w:rPr>
          <w:rFonts w:ascii="Times New Roman" w:cs="Times New Roman" w:eastAsia="Times New Roman" w:hAnsi="Times New Roman"/>
          <w:sz w:val="18"/>
          <w:szCs w:val="18"/>
          <w:color w:val="auto"/>
        </w:rPr>
        <w:t>As of September 30, 2026, we held loan and mezzanine debt investments with an aggregate fair value of $103.3 million, or 92% of our total loan and mezzanine debt investments, at fair value, that bore interest at floating interest rates and contained interest rate reset provisions that adjust applicable interest rates to current market rates on a periodic basis. The aggregate net 150 basis point reductions in the U.S. Federal Reserve target federal funds rate enacted from September 2024 through September 2026 resulted in our variable rate debt investments generating less interest income. Changes in interest rates, including the recent interest rate increase of 25 basis points by the U.S. Federal Reserve on September 16, 2026, may impact our results of operations, cost of funding and the valuation of our investments. Increases in interest rates will generally increase interest income on our floating-rate investments and may increase our net investment income. However, increases in interest rates will also increase interest expense on our revolving lines of credit, which would partially offset the corresponding increase in interest income.</w:t>
      </w:r>
    </w:p>
    <w:p>
      <w:pPr>
        <w:spacing w:after="0" w:line="84" w:lineRule="exact"/>
        <w:rPr>
          <w:sz w:val="20"/>
          <w:szCs w:val="20"/>
          <w:color w:val="auto"/>
        </w:rPr>
      </w:pPr>
    </w:p>
    <w:p>
      <w:pPr>
        <w:jc w:val="both"/>
        <w:ind w:right="80" w:firstLine="751"/>
        <w:spacing w:after="0" w:line="289" w:lineRule="auto"/>
        <w:rPr>
          <w:sz w:val="20"/>
          <w:szCs w:val="20"/>
          <w:color w:val="auto"/>
        </w:rPr>
      </w:pPr>
      <w:r>
        <w:rPr>
          <w:rFonts w:ascii="Times New Roman" w:cs="Times New Roman" w:eastAsia="Times New Roman" w:hAnsi="Times New Roman"/>
          <w:sz w:val="17"/>
          <w:szCs w:val="17"/>
          <w:color w:val="auto"/>
        </w:rPr>
        <w:t>As of September 30, 2026, our Unsecured Notes comprise 84% of our total outstanding debt. Because our Unsecured Notes bear interest at fixed rates, interest expense will not increase with changes in market interest rates and may benefit our net interest margin during periods of rising interest rates. In contrast, borrowings under our Banc of California Credit Facility and Natixis Facility bear interest at floating rates based on applicable reference rates.</w:t>
      </w:r>
    </w:p>
    <w:p>
      <w:pPr>
        <w:spacing w:after="0" w:line="50" w:lineRule="exact"/>
        <w:rPr>
          <w:sz w:val="20"/>
          <w:szCs w:val="20"/>
          <w:color w:val="auto"/>
        </w:rPr>
      </w:pPr>
    </w:p>
    <w:p>
      <w:pPr>
        <w:ind w:firstLine="751"/>
        <w:spacing w:after="0" w:line="261" w:lineRule="auto"/>
        <w:rPr>
          <w:sz w:val="20"/>
          <w:szCs w:val="20"/>
          <w:color w:val="auto"/>
        </w:rPr>
      </w:pPr>
      <w:r>
        <w:rPr>
          <w:rFonts w:ascii="Times New Roman" w:cs="Times New Roman" w:eastAsia="Times New Roman" w:hAnsi="Times New Roman"/>
          <w:sz w:val="18"/>
          <w:szCs w:val="18"/>
          <w:color w:val="auto"/>
        </w:rPr>
        <w:t>Interest rate sensitivity refers to the change in our earnings that may result from changes in the level of interest rates as of September 30, 2026. As of September 30, 2026, 1-month and 3-month SOFR were 3.91% and 4.08%, respectively. Assuming that the interim and unaudited consolidated balance sheet as of September 30, 2026 were to remain constant and that we took no actions to alter our existing interest rate sensitivity, the following tables show the annualized impact of hypothetical changes in interest rate indices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Basis point increase</w:t>
            </w:r>
          </w:p>
        </w:tc>
        <w:tc>
          <w:tcPr>
            <w:tcW w:w="2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6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Net change</w:t>
            </w:r>
          </w:p>
        </w:tc>
      </w:tr>
      <w:tr>
        <w:trPr>
          <w:trHeight w:val="223"/>
        </w:trPr>
        <w:tc>
          <w:tcPr>
            <w:tcW w:w="3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25</w:t>
            </w:r>
          </w:p>
        </w:tc>
        <w:tc>
          <w:tcPr>
            <w:tcW w:w="244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6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FF0FC"/>
          </w:tcPr>
          <w:p>
            <w:pPr>
              <w:spacing w:after="0"/>
              <w:rPr>
                <w:sz w:val="19"/>
                <w:szCs w:val="19"/>
                <w:color w:val="auto"/>
              </w:rPr>
            </w:pP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50</w:t>
            </w:r>
          </w:p>
        </w:tc>
        <w:tc>
          <w:tcPr>
            <w:tcW w:w="2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75</w:t>
            </w:r>
          </w:p>
        </w:tc>
        <w:tc>
          <w:tcPr>
            <w:tcW w:w="2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2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125</w:t>
            </w:r>
          </w:p>
        </w:tc>
        <w:tc>
          <w:tcPr>
            <w:tcW w:w="2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FF0FC"/>
          </w:tcPr>
          <w:p>
            <w:pPr>
              <w:spacing w:after="0"/>
              <w:rPr>
                <w:sz w:val="19"/>
                <w:szCs w:val="19"/>
                <w:color w:val="auto"/>
              </w:rPr>
            </w:pPr>
          </w:p>
        </w:tc>
      </w:tr>
      <w:tr>
        <w:trPr>
          <w:trHeight w:val="648"/>
        </w:trPr>
        <w:tc>
          <w:tcPr>
            <w:tcW w:w="3520" w:type="dxa"/>
            <w:vAlign w:val="bottom"/>
          </w:tcPr>
          <w:p>
            <w:pPr>
              <w:spacing w:after="0"/>
              <w:rPr>
                <w:sz w:val="24"/>
                <w:szCs w:val="24"/>
                <w:color w:val="auto"/>
              </w:rPr>
            </w:pPr>
          </w:p>
        </w:tc>
        <w:tc>
          <w:tcPr>
            <w:tcW w:w="2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5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60"/>
          </w:cols>
          <w:pgMar w:left="340" w:top="976" w:right="318"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Basis point decrease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2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Net change</w:t>
            </w:r>
          </w:p>
        </w:tc>
      </w:tr>
      <w:tr>
        <w:trPr>
          <w:trHeight w:val="223"/>
        </w:trPr>
        <w:tc>
          <w:tcPr>
            <w:tcW w:w="59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87"/>
              </w:rPr>
              <w:t>(131)</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(332)</w:t>
            </w:r>
          </w:p>
        </w:tc>
      </w:tr>
      <w:tr>
        <w:trPr>
          <w:trHeight w:val="22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(531)</w:t>
            </w:r>
          </w:p>
        </w:tc>
      </w:tr>
      <w:tr>
        <w:trPr>
          <w:trHeight w:val="22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(961)</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(731)</w:t>
            </w: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(1,224)</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(930)</w:t>
            </w:r>
          </w:p>
        </w:tc>
      </w:tr>
    </w:tbl>
    <w:p>
      <w:pPr>
        <w:spacing w:after="0" w:line="103" w:lineRule="exact"/>
        <w:rPr>
          <w:sz w:val="20"/>
          <w:szCs w:val="20"/>
          <w:color w:val="auto"/>
        </w:rPr>
      </w:pPr>
    </w:p>
    <w:p>
      <w:pPr>
        <w:ind w:right="320" w:firstLine="751"/>
        <w:spacing w:after="0" w:line="261" w:lineRule="auto"/>
        <w:rPr>
          <w:sz w:val="20"/>
          <w:szCs w:val="20"/>
          <w:color w:val="auto"/>
        </w:rPr>
      </w:pPr>
      <w:r>
        <w:rPr>
          <w:rFonts w:ascii="Times New Roman" w:cs="Times New Roman" w:eastAsia="Times New Roman" w:hAnsi="Times New Roman"/>
          <w:sz w:val="18"/>
          <w:szCs w:val="18"/>
          <w:color w:val="auto"/>
        </w:rPr>
        <w:t>Although we believe that the foregoing analysis is indicative of our net interest margin sensitivity to interest rate changes as of September 30, 2026, it does not adjust for potential changes in the credit market, credit quality, size and composition of the assets in our portfolio, and other business developments, including borrowings under our credit facilities, that could affect net increase or decrease in net assets resulting from operations, or net income. Accordingly, no assurances can be given that actual results would not differ materially from the statement above.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firstLine="751"/>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September 30, 2026. The term “disclosure controls and procedures” (as defined in Rules 13a-15(e) and 15d-15(e) under the Exchange Act) means controls and other procedures of a company that are designed to ensure that information required to be disclosed by a company in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81" w:lineRule="exact"/>
        <w:rPr>
          <w:sz w:val="20"/>
          <w:szCs w:val="20"/>
          <w:color w:val="auto"/>
        </w:rPr>
      </w:pPr>
    </w:p>
    <w:p>
      <w:pPr>
        <w:ind w:right="100" w:firstLine="751"/>
        <w:spacing w:after="0" w:line="261"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foregoing evaluation of our disclosure controls and procedures as of September 30, 2026, our Chief Executive Officer and Chief Financial Officer concluded that, as of such date, our disclosure controls and procedures were effective at the reasonable assurance level.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20" w:firstLine="751"/>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2026,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17" w:right="318"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0" w:firstLine="751"/>
        <w:spacing w:after="0" w:line="254" w:lineRule="auto"/>
        <w:rPr>
          <w:sz w:val="20"/>
          <w:szCs w:val="20"/>
          <w:color w:val="auto"/>
        </w:rPr>
      </w:pPr>
      <w:r>
        <w:rPr>
          <w:rFonts w:ascii="Times New Roman" w:cs="Times New Roman" w:eastAsia="Times New Roman" w:hAnsi="Times New Roman"/>
          <w:sz w:val="18"/>
          <w:szCs w:val="18"/>
          <w:color w:val="auto"/>
        </w:rPr>
        <w:t xml:space="preserve">On October 26, 2026, Pfanstiehl Holdings, Inc. filed a verified complaint in the Delaware Court of Chancery against our affiliate and former subsidiary OFS SBIC I, LP (“SBIC I LP”) and our wholly owned subsidiary OFS SBIC I GP, LLC, captioned </w:t>
      </w:r>
      <w:r>
        <w:rPr>
          <w:rFonts w:ascii="Times New Roman" w:cs="Times New Roman" w:eastAsia="Times New Roman" w:hAnsi="Times New Roman"/>
          <w:sz w:val="18"/>
          <w:szCs w:val="18"/>
          <w:i w:val="1"/>
          <w:iCs w:val="1"/>
          <w:color w:val="auto"/>
        </w:rPr>
        <w:t>Pfanstiehl Holdings, Inc. v. OFS SBIC I, L.P.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OFS SBIC I GP, LLC, </w:t>
      </w:r>
      <w:r>
        <w:rPr>
          <w:rFonts w:ascii="Times New Roman" w:cs="Times New Roman" w:eastAsia="Times New Roman" w:hAnsi="Times New Roman"/>
          <w:sz w:val="18"/>
          <w:szCs w:val="18"/>
          <w:color w:val="auto"/>
        </w:rPr>
        <w:t>C.A. No. 2026-1414-BWD. OFS Capital Corporation is not currently named as a defendant in the complaint. The complaint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challenges the transaction previously reported in our Current Report on Form 8-K filed on October 6, 2026 and asserts claims for (i) declaratory judgment that the transaction is void under the stockholder agreement governing SBIC I LP’s shares of Pfanstiehl Holdings, Inc., (ii) breach of that stockholder agreement, and (iii) breach of the implied covenant of good faith and fair dealing. The complaint seeks declaratory and injunctive relief (including an order unwinding the transaction) and unspecified damages, and fees and costs. We intend to defend the matter vigorously. The outcomes of outstanding legal matters are inherently unpredictable and subject to uncertainties. Based on information currently available, we cannot predict the outcome of this proceeding and are unable to reasonably estimate any possible loss or range of loss, if any, associated with this matter.</w:t>
      </w:r>
    </w:p>
    <w:p>
      <w:pPr>
        <w:spacing w:after="0" w:line="80" w:lineRule="exact"/>
        <w:rPr>
          <w:sz w:val="20"/>
          <w:szCs w:val="20"/>
          <w:color w:val="auto"/>
        </w:rPr>
      </w:pPr>
    </w:p>
    <w:p>
      <w:pPr>
        <w:jc w:val="both"/>
        <w:ind w:firstLine="751"/>
        <w:spacing w:after="0" w:line="257" w:lineRule="auto"/>
        <w:rPr>
          <w:sz w:val="20"/>
          <w:szCs w:val="20"/>
          <w:color w:val="auto"/>
        </w:rPr>
      </w:pPr>
      <w:r>
        <w:rPr>
          <w:rFonts w:ascii="Times New Roman" w:cs="Times New Roman" w:eastAsia="Times New Roman" w:hAnsi="Times New Roman"/>
          <w:sz w:val="18"/>
          <w:szCs w:val="18"/>
          <w:color w:val="auto"/>
        </w:rPr>
        <w:t>Except as set forth above, as of September 30, 2026, we, OFS Advisor and OFS Services are not subject to any material legal proceedings, nor, to our knowledge, is any material legal proceeding threatened against us, OFS Advisor or OFS Services. From time to time, we may be a party to certain legal proceedings incidental to the normal course of our business, including the enforcement of our rights under contracts with our portfolio companies.</w:t>
      </w:r>
    </w:p>
    <w:p>
      <w:pPr>
        <w:spacing w:after="0" w:line="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Furthermore, third parties may try to seek to impose liability on us in connection with the activities of our portfolio companies. While the outcome of these legal proceedings, other than the matter set forth above, cannot be predicted with certainty, we do not expect that these proceedings will have a material effect upon our business, financial condition, results of operations or cash flows.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40" w:firstLine="751"/>
        <w:spacing w:after="0" w:line="256" w:lineRule="auto"/>
        <w:rPr>
          <w:sz w:val="20"/>
          <w:szCs w:val="20"/>
          <w:color w:val="auto"/>
        </w:rPr>
      </w:pPr>
      <w:r>
        <w:rPr>
          <w:rFonts w:ascii="Times New Roman" w:cs="Times New Roman" w:eastAsia="Times New Roman" w:hAnsi="Times New Roman"/>
          <w:sz w:val="18"/>
          <w:szCs w:val="18"/>
          <w:color w:val="auto"/>
        </w:rPr>
        <w:t>Investing in our common stock may be speculative and involves a high degree of risk. In addition to the other information contained in this Quarterly Report on Form 10-Q, including our financial statements, and the related notes, schedules and exhibits, you should carefully consider the risk factors described in “Part I, Item 1A. Risk Factors” in our Annual Report on Form 10-K for the fiscal year ended December 31, 2025 (the “Annual Report on Form 10-K”), filed on March 3, 2026, which could materially affect our business, financial condition and/or operating results. The risks described in our Annual Report on Form 10-K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79" w:lineRule="exact"/>
        <w:rPr>
          <w:sz w:val="20"/>
          <w:szCs w:val="20"/>
          <w:color w:val="auto"/>
        </w:rPr>
      </w:pPr>
    </w:p>
    <w:p>
      <w:pPr>
        <w:ind w:right="100" w:firstLine="751"/>
        <w:spacing w:after="0" w:line="266" w:lineRule="auto"/>
        <w:rPr>
          <w:sz w:val="20"/>
          <w:szCs w:val="20"/>
          <w:color w:val="auto"/>
        </w:rPr>
      </w:pPr>
      <w:r>
        <w:rPr>
          <w:rFonts w:ascii="Times New Roman" w:cs="Times New Roman" w:eastAsia="Times New Roman" w:hAnsi="Times New Roman"/>
          <w:sz w:val="18"/>
          <w:szCs w:val="18"/>
          <w:color w:val="auto"/>
        </w:rPr>
        <w:t>Other than the risks described below, there have been no material changes to the risk factors previously disclosed in our Annual Report on Form 10-K. The risks previously disclosed in the Annual Report on Form 10-K should be read together with the other information disclosed elsewhere in this Quarterly Report on Form 10-Q and our other reports filed with the SEC.</w:t>
      </w:r>
    </w:p>
    <w:p>
      <w:pPr>
        <w:spacing w:after="0" w:line="6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facilities may contain various covenants that, if not complied with, could accelerate repayment under such credit facilities, thereby materially and adversely affecting our liquidity, financial condition and results of operations.</w:t>
      </w:r>
    </w:p>
    <w:p>
      <w:pPr>
        <w:spacing w:after="0" w:line="51" w:lineRule="exact"/>
        <w:rPr>
          <w:sz w:val="20"/>
          <w:szCs w:val="20"/>
          <w:color w:val="auto"/>
        </w:rPr>
      </w:pPr>
    </w:p>
    <w:p>
      <w:pPr>
        <w:ind w:right="100" w:firstLine="751"/>
        <w:spacing w:after="0" w:line="258" w:lineRule="auto"/>
        <w:rPr>
          <w:sz w:val="20"/>
          <w:szCs w:val="20"/>
          <w:color w:val="auto"/>
        </w:rPr>
      </w:pPr>
      <w:r>
        <w:rPr>
          <w:rFonts w:ascii="Times New Roman" w:cs="Times New Roman" w:eastAsia="Times New Roman" w:hAnsi="Times New Roman"/>
          <w:sz w:val="18"/>
          <w:szCs w:val="18"/>
          <w:color w:val="auto"/>
        </w:rPr>
        <w:t>Compliance with these covenants depends on many factors, some of which are beyond our control. Accordingly, there are no assurances that we will be able to comply with the covenants in any credit facilities we enter into. Failure to comply with these covenants could result in a default under such credit facilities, that, if we were unable to obtain a waiver from the lenders or holders of such indebtedness, as applicable, such lenders or holders could accelerate repayment of the indebtedness, or terminate the applicable credit facility, and thereby have a material adverse impact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Risks</w:t>
      </w:r>
    </w:p>
    <w:p>
      <w:pPr>
        <w:spacing w:after="0" w:line="121" w:lineRule="exact"/>
        <w:rPr>
          <w:sz w:val="20"/>
          <w:szCs w:val="20"/>
          <w:color w:val="auto"/>
        </w:rPr>
      </w:pPr>
    </w:p>
    <w:p>
      <w:pPr>
        <w:ind w:right="20" w:firstLine="751"/>
        <w:spacing w:after="0" w:line="256" w:lineRule="auto"/>
        <w:rPr>
          <w:sz w:val="20"/>
          <w:szCs w:val="20"/>
          <w:color w:val="auto"/>
        </w:rPr>
      </w:pPr>
      <w:r>
        <w:rPr>
          <w:rFonts w:ascii="Times New Roman" w:cs="Times New Roman" w:eastAsia="Times New Roman" w:hAnsi="Times New Roman"/>
          <w:sz w:val="18"/>
          <w:szCs w:val="18"/>
          <w:color w:val="auto"/>
        </w:rPr>
        <w:t>We are subject to a variety of litigation risks. Litigation may arise in the course of our investment activities, may result from the nature of our holdings or could be driven by increased or changing interests by regulators in our business. The outcome of any such threatened or actual litigation is inherently uncertain and may include monetary damages, fees, fines, injunctive or other equitable relief and other sanctions. The costs of defending, settling or satisfying any such litigation will ordinarily be borne by us. Any such legal proceeding, involving any or all of the Company, the OFS Advisor, or their affiliates, could have a significant adverse effect on us. For a description of the material pending proceeding to which we are currently subject, see “Part II, Item 1. Legal Proceedings.”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Unregistered Securities, Use of Proceeds</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976" w:right="338" w:bottom="1440" w:gutter="0" w:footer="0" w:header="0"/>
        </w:sectPr>
      </w:pPr>
    </w:p>
    <w:bookmarkStart w:id="66" w:name="page67"/>
    <w:bookmarkEnd w:id="66"/>
    <w:p>
      <w:pPr>
        <w:ind w:left="7"/>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left="7" w:right="260" w:firstLine="751"/>
        <w:spacing w:after="0" w:line="282" w:lineRule="auto"/>
        <w:rPr>
          <w:sz w:val="20"/>
          <w:szCs w:val="20"/>
          <w:color w:val="auto"/>
        </w:rPr>
      </w:pPr>
      <w:r>
        <w:rPr>
          <w:rFonts w:ascii="Times New Roman" w:cs="Times New Roman" w:eastAsia="Times New Roman" w:hAnsi="Times New Roman"/>
          <w:sz w:val="18"/>
          <w:szCs w:val="18"/>
          <w:color w:val="auto"/>
        </w:rPr>
        <w:t>On May 22, 2018, the Board authorized the Company to initiate the Stock Repurchase Program under which the Company could acquire up to $10.0 million of its outstanding common stock through the two-year period ended May 22, 2020.</w:t>
      </w:r>
    </w:p>
    <w:p>
      <w:pPr>
        <w:spacing w:after="0" w:line="54" w:lineRule="exact"/>
        <w:rPr>
          <w:sz w:val="20"/>
          <w:szCs w:val="20"/>
          <w:color w:val="auto"/>
        </w:rPr>
      </w:pPr>
    </w:p>
    <w:p>
      <w:pPr>
        <w:ind w:left="7" w:firstLine="751"/>
        <w:spacing w:after="0" w:line="254" w:lineRule="auto"/>
        <w:rPr>
          <w:sz w:val="20"/>
          <w:szCs w:val="20"/>
          <w:color w:val="auto"/>
        </w:rPr>
      </w:pPr>
      <w:r>
        <w:rPr>
          <w:rFonts w:ascii="Times New Roman" w:cs="Times New Roman" w:eastAsia="Times New Roman" w:hAnsi="Times New Roman"/>
          <w:sz w:val="18"/>
          <w:szCs w:val="18"/>
          <w:color w:val="auto"/>
        </w:rPr>
        <w:t>On each of May 4, 2020, May 3, 2022 and April 30, 2024, our Board extended the Stock Repurchase Program for additional two-year periods. On April 28, 2026, the Board extended the Stock Repurchase Program for the two-year period ending May 22, 2028. Under the extended Stock Repurchase Program, the Company is authorized to repurchase shares in open-market transactions, including through block purchases, depending on prevailing market conditions and other factors. The Company expects the Stock Repurchase Program to be in place through May 22, 2028, or until the approved dollar amount has been used to repurchase shares. The Stock Repurchase Program does not obligate the Company to acquire any specific number of shares, and all repurchases will be made in accordance with SEC Rule 10b-18, which sets certain restrictions on the method, timing, price and volume of stock repurchases. The Stock Repurchase Program may be extended, modified or discontinued at any time for any reason. The Company retires all shares of common stock that it purchases in connection with the Stock Repurchase Program. As of September 30, 2026, the approximate dollar value of shares remaining that may be purchased under the program was $9.6 million.</w:t>
      </w:r>
    </w:p>
    <w:p>
      <w:pPr>
        <w:spacing w:after="0" w:line="80" w:lineRule="exact"/>
        <w:rPr>
          <w:sz w:val="20"/>
          <w:szCs w:val="20"/>
          <w:color w:val="auto"/>
        </w:rPr>
      </w:pPr>
    </w:p>
    <w:p>
      <w:pPr>
        <w:ind w:left="7" w:right="160" w:firstLine="751"/>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did not make any repurchases of its common stock on the open market under the Stock Repurchase Program.</w:t>
      </w:r>
    </w:p>
    <w:p>
      <w:pPr>
        <w:spacing w:after="0" w:line="5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21" w:lineRule="exact"/>
        <w:rPr>
          <w:sz w:val="20"/>
          <w:szCs w:val="20"/>
          <w:color w:val="auto"/>
        </w:rPr>
      </w:pPr>
    </w:p>
    <w:p>
      <w:pPr>
        <w:ind w:left="7" w:right="680" w:firstLine="751"/>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no director or officer of the Company adopted or terminated a “Rule 10b5-1 trading arrangement” or “non-Rule 10b5-1 trading arrangement,” as each term is defined in Item 408(a) of Regulation S-K.</w:t>
      </w:r>
    </w:p>
    <w:p>
      <w:pPr>
        <w:spacing w:after="0" w:line="5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i w:val="1"/>
          <w:iCs w:val="1"/>
          <w:color w:val="auto"/>
        </w:rPr>
        <w:t>Price Range of Common Stock and Distributions</w:t>
      </w:r>
    </w:p>
    <w:p>
      <w:pPr>
        <w:spacing w:after="0" w:line="121" w:lineRule="exact"/>
        <w:rPr>
          <w:sz w:val="20"/>
          <w:szCs w:val="20"/>
          <w:color w:val="auto"/>
        </w:rPr>
      </w:pPr>
    </w:p>
    <w:p>
      <w:pPr>
        <w:ind w:left="7" w:right="80" w:firstLine="751"/>
        <w:spacing w:after="0" w:line="261" w:lineRule="auto"/>
        <w:rPr>
          <w:sz w:val="20"/>
          <w:szCs w:val="20"/>
          <w:color w:val="auto"/>
        </w:rPr>
      </w:pPr>
      <w:r>
        <w:rPr>
          <w:rFonts w:ascii="Times New Roman" w:cs="Times New Roman" w:eastAsia="Times New Roman" w:hAnsi="Times New Roman"/>
          <w:sz w:val="18"/>
          <w:szCs w:val="18"/>
          <w:color w:val="auto"/>
        </w:rPr>
        <w:t>The Company’s common stock is traded on The Nasdaq Global Select Market under the symbol “OFS.” The following table lists the high and low intraday sale price for the Company’s common stock, NAV per share, and the cash distributions per share that were declared on its common stock for each fiscal quarter during the last two most recently completed fiscal years and each full fiscal quarter of the current fiscal year. The last reported sale price for our common stock on The Nasdaq Global Select Market on September 30, 2026 was $3.63 per share.</w:t>
      </w:r>
    </w:p>
    <w:p>
      <w:pPr>
        <w:spacing w:after="0" w:line="119" w:lineRule="exact"/>
        <w:rPr>
          <w:sz w:val="20"/>
          <w:szCs w:val="20"/>
          <w:color w:val="auto"/>
        </w:rPr>
      </w:pPr>
    </w:p>
    <w:tbl>
      <w:tblPr>
        <w:tblLayout w:type="fixed"/>
        <w:tblInd w:w="7" w:type="dxa"/>
        <w:tblCellMar>
          <w:top w:w="0" w:type="dxa"/>
          <w:left w:w="0" w:type="dxa"/>
          <w:bottom w:w="0" w:type="dxa"/>
          <w:right w:w="0" w:type="dxa"/>
        </w:tblCellMar>
      </w:tblPr>
      <w:tr>
        <w:trPr>
          <w:trHeight w:val="173"/>
        </w:trPr>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NAV Per</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6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Premium</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Cash</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High</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Low</w:t>
            </w:r>
          </w:p>
        </w:tc>
        <w:tc>
          <w:tcPr>
            <w:tcW w:w="240" w:type="dxa"/>
            <w:vAlign w:val="bottom"/>
          </w:tcPr>
          <w:p>
            <w:pPr>
              <w:spacing w:after="0"/>
              <w:rPr>
                <w:sz w:val="13"/>
                <w:szCs w:val="13"/>
                <w:color w:val="auto"/>
              </w:rPr>
            </w:pPr>
          </w:p>
        </w:tc>
        <w:tc>
          <w:tcPr>
            <w:tcW w:w="198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(Discount) of High</w:t>
            </w:r>
          </w:p>
        </w:tc>
        <w:tc>
          <w:tcPr>
            <w:tcW w:w="19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(Discount) of Low</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94"/>
              <w:spacing w:after="0" w:line="155"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253"/>
              <w:spacing w:after="0" w:line="175" w:lineRule="exact"/>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9"/>
                <w:szCs w:val="19"/>
                <w:b w:val="1"/>
                <w:bCs w:val="1"/>
                <w:color w:val="auto"/>
                <w:vertAlign w:val="superscript"/>
              </w:rPr>
              <w:t>(1)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Sales Price to NAV</w:t>
            </w:r>
          </w:p>
        </w:tc>
        <w:tc>
          <w:tcPr>
            <w:tcW w:w="1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Sales Price to NAV</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Fiscal 2026</w:t>
            </w:r>
          </w:p>
        </w:tc>
        <w:tc>
          <w:tcPr>
            <w:tcW w:w="16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(43.1)%</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2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(48.3)%</w:t>
            </w:r>
          </w:p>
        </w:tc>
        <w:tc>
          <w:tcPr>
            <w:tcW w:w="1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(61.2)%</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(35.3)%</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(66.7)%</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2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1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2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1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2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(30.1)%</w:t>
            </w:r>
          </w:p>
        </w:tc>
        <w:tc>
          <w:tcPr>
            <w:tcW w:w="1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2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1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8.9%</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67" w:right="80" w:hanging="367"/>
        <w:spacing w:after="0" w:line="282" w:lineRule="auto"/>
        <w:tabs>
          <w:tab w:leader="none" w:pos="36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6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084" w:right="318"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Listed below are the exhibits that are filed as part of this report (according to the number assigned to them in Item 601 of Regulation S-K):</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6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80" w:type="dxa"/>
            <w:vAlign w:val="bottom"/>
          </w:tcPr>
          <w:p>
            <w:pPr>
              <w:spacing w:after="0"/>
              <w:rPr>
                <w:sz w:val="20"/>
                <w:szCs w:val="20"/>
                <w:color w:val="auto"/>
              </w:rPr>
            </w:pPr>
          </w:p>
        </w:tc>
      </w:tr>
      <w:tr>
        <w:trPr>
          <w:trHeight w:val="27"/>
        </w:trPr>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24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 and SEC</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 with</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 with</w:t>
            </w:r>
          </w:p>
        </w:tc>
      </w:tr>
      <w:tr>
        <w:trPr>
          <w:trHeight w:val="23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6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this 10-Q</w:t>
            </w:r>
          </w:p>
        </w:tc>
      </w:tr>
      <w:tr>
        <w:trPr>
          <w:trHeight w:val="27"/>
        </w:trPr>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7"/>
                <w:szCs w:val="17"/>
                <w:color w:val="auto"/>
              </w:rPr>
            </w:pPr>
          </w:p>
        </w:tc>
        <w:tc>
          <w:tcPr>
            <w:tcW w:w="5080" w:type="dxa"/>
            <w:vAlign w:val="bottom"/>
            <w:gridSpan w:val="4"/>
          </w:tcPr>
          <w:p>
            <w:pPr>
              <w:spacing w:after="0" w:line="196" w:lineRule="exact"/>
              <w:rPr>
                <w:rFonts w:ascii="Times New Roman" w:cs="Times New Roman" w:eastAsia="Times New Roman" w:hAnsi="Times New Roman"/>
                <w:sz w:val="18"/>
                <w:szCs w:val="18"/>
                <w:color w:val="0000FF"/>
              </w:rPr>
            </w:pPr>
            <w:hyperlink r:id="rId439">
              <w:r>
                <w:rPr>
                  <w:rFonts w:ascii="Times New Roman" w:cs="Times New Roman" w:eastAsia="Times New Roman" w:hAnsi="Times New Roman"/>
                  <w:sz w:val="18"/>
                  <w:szCs w:val="18"/>
                  <w:color w:val="0000FF"/>
                </w:rPr>
                <w:t>Certificate of Incorporation of OFS Capital Corporation</w:t>
              </w:r>
            </w:hyperlink>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Form N-2/A</w:t>
            </w:r>
          </w:p>
        </w:tc>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(333-166363)</w:t>
            </w:r>
          </w:p>
        </w:tc>
        <w:tc>
          <w:tcPr>
            <w:tcW w:w="1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March 18, 2011</w:t>
            </w:r>
          </w:p>
        </w:tc>
        <w:tc>
          <w:tcPr>
            <w:tcW w:w="118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63"/>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2"/>
                <w:szCs w:val="22"/>
                <w:color w:val="auto"/>
              </w:rPr>
            </w:pPr>
          </w:p>
        </w:tc>
        <w:tc>
          <w:tcPr>
            <w:tcW w:w="5080" w:type="dxa"/>
            <w:vAlign w:val="bottom"/>
            <w:gridSpan w:val="4"/>
          </w:tcPr>
          <w:p>
            <w:pPr>
              <w:spacing w:after="0"/>
              <w:rPr>
                <w:rFonts w:ascii="Times New Roman" w:cs="Times New Roman" w:eastAsia="Times New Roman" w:hAnsi="Times New Roman"/>
                <w:sz w:val="18"/>
                <w:szCs w:val="18"/>
                <w:color w:val="0000FF"/>
              </w:rPr>
            </w:pPr>
            <w:hyperlink r:id="rId440">
              <w:r>
                <w:rPr>
                  <w:rFonts w:ascii="Times New Roman" w:cs="Times New Roman" w:eastAsia="Times New Roman" w:hAnsi="Times New Roman"/>
                  <w:sz w:val="18"/>
                  <w:szCs w:val="18"/>
                  <w:color w:val="0000FF"/>
                </w:rPr>
                <w:t>Certificate of Correction to Certificate of Incorporation of OFS</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10-K</w:t>
            </w: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(814-00813)</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2013</w:t>
            </w:r>
          </w:p>
        </w:tc>
        <w:tc>
          <w:tcPr>
            <w:tcW w:w="118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80" w:type="dxa"/>
            <w:vAlign w:val="bottom"/>
            <w:gridSpan w:val="4"/>
          </w:tcPr>
          <w:p>
            <w:pPr>
              <w:spacing w:after="0" w:line="196" w:lineRule="exact"/>
              <w:rPr>
                <w:rFonts w:ascii="Times New Roman" w:cs="Times New Roman" w:eastAsia="Times New Roman" w:hAnsi="Times New Roman"/>
                <w:sz w:val="18"/>
                <w:szCs w:val="18"/>
                <w:color w:val="0000FF"/>
              </w:rPr>
            </w:pPr>
            <w:hyperlink r:id="rId440">
              <w:r>
                <w:rPr>
                  <w:rFonts w:ascii="Times New Roman" w:cs="Times New Roman" w:eastAsia="Times New Roman" w:hAnsi="Times New Roman"/>
                  <w:sz w:val="18"/>
                  <w:szCs w:val="18"/>
                  <w:color w:val="0000FF"/>
                </w:rPr>
                <w:t>Capital Corporation</w:t>
              </w:r>
            </w:hyperlink>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77" w:lineRule="exact"/>
        <w:rPr>
          <w:sz w:val="20"/>
          <w:szCs w:val="20"/>
          <w:color w:val="auto"/>
        </w:rPr>
      </w:pPr>
    </w:p>
    <w:p>
      <w:pPr>
        <w:sectPr>
          <w:pgSz w:w="11920" w:h="16838" w:orient="portrait"/>
          <w:cols w:equalWidth="0" w:num="1">
            <w:col w:w="11260"/>
          </w:cols>
          <w:pgMar w:left="340" w:top="976" w:right="318" w:bottom="1440" w:gutter="0" w:footer="0" w:header="0"/>
        </w:sectPr>
      </w:pPr>
    </w:p>
    <w:tbl>
      <w:tblPr>
        <w:tblLayout w:type="fixed"/>
        <w:tblInd w:w="320" w:type="dxa"/>
        <w:tblCellMar>
          <w:top w:w="0" w:type="dxa"/>
          <w:left w:w="0" w:type="dxa"/>
          <w:bottom w:w="0" w:type="dxa"/>
          <w:right w:w="0" w:type="dxa"/>
        </w:tblCellMar>
      </w:tblPr>
      <w:tr>
        <w:trPr>
          <w:trHeight w:val="207"/>
        </w:trPr>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3.3</w:t>
            </w:r>
          </w:p>
        </w:tc>
        <w:tc>
          <w:tcPr>
            <w:tcW w:w="5060" w:type="dxa"/>
            <w:vAlign w:val="bottom"/>
            <w:gridSpan w:val="5"/>
          </w:tcPr>
          <w:p>
            <w:pPr>
              <w:spacing w:after="0"/>
              <w:rPr>
                <w:rFonts w:ascii="Times New Roman" w:cs="Times New Roman" w:eastAsia="Times New Roman" w:hAnsi="Times New Roman"/>
                <w:sz w:val="18"/>
                <w:szCs w:val="18"/>
                <w:color w:val="0000FF"/>
              </w:rPr>
            </w:pPr>
            <w:hyperlink r:id="rId441">
              <w:r>
                <w:rPr>
                  <w:rFonts w:ascii="Times New Roman" w:cs="Times New Roman" w:eastAsia="Times New Roman" w:hAnsi="Times New Roman"/>
                  <w:sz w:val="18"/>
                  <w:szCs w:val="18"/>
                  <w:color w:val="0000FF"/>
                </w:rPr>
                <w:t>Bylaws of OFS Capital Corporation</w:t>
              </w:r>
            </w:hyperlink>
          </w:p>
        </w:tc>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N-2/A (333-166363)</w:t>
            </w:r>
          </w:p>
        </w:tc>
        <w:tc>
          <w:tcPr>
            <w:tcW w:w="13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March 18, 2011</w:t>
            </w:r>
          </w:p>
        </w:tc>
        <w:tc>
          <w:tcPr>
            <w:tcW w:w="0" w:type="dxa"/>
            <w:vAlign w:val="bottom"/>
          </w:tcPr>
          <w:p>
            <w:pPr>
              <w:spacing w:after="0"/>
              <w:rPr>
                <w:sz w:val="1"/>
                <w:szCs w:val="1"/>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14.1</w:t>
            </w:r>
          </w:p>
        </w:tc>
        <w:tc>
          <w:tcPr>
            <w:tcW w:w="4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Joint Code of Ethics of OFS Capital Corporation and OFS Advisor</w:t>
            </w:r>
          </w:p>
        </w:tc>
        <w:tc>
          <w:tcPr>
            <w:tcW w:w="260" w:type="dxa"/>
            <w:vAlign w:val="bottom"/>
            <w:vMerge w:val="restart"/>
          </w:tcPr>
          <w:p>
            <w:pPr>
              <w:spacing w:after="0"/>
              <w:rPr>
                <w:sz w:val="19"/>
                <w:szCs w:val="19"/>
                <w:color w:val="auto"/>
              </w:rPr>
            </w:pPr>
          </w:p>
        </w:tc>
        <w:tc>
          <w:tcPr>
            <w:tcW w:w="2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820" w:type="dxa"/>
            <w:vAlign w:val="bottom"/>
            <w:vMerge w:val="continue"/>
          </w:tcPr>
          <w:p>
            <w:pPr>
              <w:spacing w:after="0"/>
              <w:rPr>
                <w:sz w:val="6"/>
                <w:szCs w:val="6"/>
                <w:color w:val="auto"/>
              </w:rPr>
            </w:pPr>
          </w:p>
        </w:tc>
        <w:tc>
          <w:tcPr>
            <w:tcW w:w="4260" w:type="dxa"/>
            <w:vAlign w:val="bottom"/>
            <w:tcBorders>
              <w:top w:val="single" w:sz="8" w:color="0000FF"/>
            </w:tcBorders>
            <w:gridSpan w:val="2"/>
          </w:tcPr>
          <w:p>
            <w:pPr>
              <w:spacing w:after="0"/>
              <w:rPr>
                <w:sz w:val="6"/>
                <w:szCs w:val="6"/>
                <w:color w:val="auto"/>
              </w:rPr>
            </w:pPr>
          </w:p>
        </w:tc>
        <w:tc>
          <w:tcPr>
            <w:tcW w:w="260" w:type="dxa"/>
            <w:vAlign w:val="bottom"/>
            <w:tcBorders>
              <w:top w:val="single" w:sz="8" w:color="0000FF"/>
            </w:tcBorders>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260" w:type="dxa"/>
            <w:vAlign w:val="bottom"/>
            <w:vMerge w:val="continue"/>
          </w:tcPr>
          <w:p>
            <w:pPr>
              <w:spacing w:after="0"/>
              <w:rPr>
                <w:sz w:val="6"/>
                <w:szCs w:val="6"/>
                <w:color w:val="auto"/>
              </w:rPr>
            </w:pPr>
          </w:p>
        </w:tc>
        <w:tc>
          <w:tcPr>
            <w:tcW w:w="2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5"/>
              </w:rPr>
              <w:t>31.1</w:t>
            </w:r>
          </w:p>
        </w:tc>
        <w:tc>
          <w:tcPr>
            <w:tcW w:w="5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 13a-14 and</w:t>
            </w:r>
          </w:p>
        </w:tc>
        <w:tc>
          <w:tcPr>
            <w:tcW w:w="2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2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0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15d-14(a) of the Securities Exchange Act of 1934, as Adopted</w:t>
            </w:r>
          </w:p>
        </w:tc>
        <w:tc>
          <w:tcPr>
            <w:tcW w:w="2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2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0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2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9" w:lineRule="exact"/>
        <w:rPr>
          <w:sz w:val="20"/>
          <w:szCs w:val="20"/>
          <w:color w:val="auto"/>
        </w:rPr>
      </w:pPr>
    </w:p>
    <w:p>
      <w:pPr>
        <w:sectPr>
          <w:pgSz w:w="11920" w:h="16838" w:orient="portrait"/>
          <w:cols w:equalWidth="0" w:num="2">
            <w:col w:w="9900" w:space="720"/>
            <w:col w:w="640"/>
          </w:cols>
          <w:pgMar w:left="340" w:top="976" w:right="318" w:bottom="1440" w:gutter="0" w:footer="0" w:header="0"/>
          <w:type w:val="continuous"/>
        </w:sectPr>
      </w:pPr>
    </w:p>
    <w:tbl>
      <w:tblPr>
        <w:tblLayout w:type="fixed"/>
        <w:tblInd w:w="320" w:type="dxa"/>
        <w:tblCellMar>
          <w:top w:w="0" w:type="dxa"/>
          <w:left w:w="0" w:type="dxa"/>
          <w:bottom w:w="0" w:type="dxa"/>
          <w:right w:w="0" w:type="dxa"/>
        </w:tblCellMar>
      </w:tblPr>
      <w:tr>
        <w:trPr>
          <w:trHeight w:val="207"/>
        </w:trPr>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5"/>
              </w:rPr>
              <w:t>31.2</w:t>
            </w:r>
          </w:p>
        </w:tc>
        <w:tc>
          <w:tcPr>
            <w:tcW w:w="51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13a-14 and</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15d-14(a) of the Securities Exchange Act of 1934, as Adopted</w:t>
            </w:r>
          </w:p>
        </w:tc>
        <w:tc>
          <w:tcPr>
            <w:tcW w:w="448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448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263"/>
        </w:trPr>
        <w:tc>
          <w:tcPr>
            <w:tcW w:w="8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32.1</w:t>
            </w:r>
          </w:p>
        </w:tc>
        <w:tc>
          <w:tcPr>
            <w:tcW w:w="51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4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w:t>
            </w:r>
          </w:p>
        </w:tc>
        <w:tc>
          <w:tcPr>
            <w:tcW w:w="448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4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4480" w:type="dxa"/>
            <w:vAlign w:val="bottom"/>
          </w:tcPr>
          <w:p>
            <w:pPr>
              <w:spacing w:after="0"/>
              <w:rPr>
                <w:sz w:val="17"/>
                <w:szCs w:val="17"/>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bl>
    <w:p>
      <w:pPr>
        <w:spacing w:after="0" w:line="77" w:lineRule="exact"/>
        <w:rPr>
          <w:sz w:val="20"/>
          <w:szCs w:val="20"/>
          <w:color w:val="auto"/>
        </w:rPr>
      </w:pPr>
    </w:p>
    <w:p>
      <w:pPr>
        <w:sectPr>
          <w:pgSz w:w="11920" w:h="16838" w:orient="portrait"/>
          <w:cols w:equalWidth="0" w:num="1">
            <w:col w:w="11260"/>
          </w:cols>
          <w:pgMar w:left="340" w:top="976" w:right="318" w:bottom="1440" w:gutter="0" w:footer="0" w:header="0"/>
          <w:type w:val="continuous"/>
        </w:sectPr>
      </w:pPr>
    </w:p>
    <w:tbl>
      <w:tblPr>
        <w:tblLayout w:type="fixed"/>
        <w:tblInd w:w="160" w:type="dxa"/>
        <w:tblCellMar>
          <w:top w:w="0" w:type="dxa"/>
          <w:left w:w="0" w:type="dxa"/>
          <w:bottom w:w="0" w:type="dxa"/>
          <w:right w:w="0" w:type="dxa"/>
        </w:tblCellMar>
      </w:tblPr>
      <w:tr>
        <w:trPr>
          <w:trHeight w:val="207"/>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32.2</w:t>
            </w:r>
          </w:p>
        </w:tc>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w:t>
            </w:r>
          </w:p>
        </w:tc>
      </w:tr>
      <w:tr>
        <w:trPr>
          <w:trHeight w:val="20"/>
        </w:trPr>
        <w:tc>
          <w:tcPr>
            <w:tcW w:w="98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4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50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w:t>
            </w:r>
          </w:p>
        </w:tc>
      </w:tr>
      <w:tr>
        <w:trPr>
          <w:trHeight w:val="20"/>
        </w:trPr>
        <w:tc>
          <w:tcPr>
            <w:tcW w:w="98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50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r>
      <w:tr>
        <w:trPr>
          <w:trHeight w:val="250"/>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101.INS</w:t>
            </w:r>
          </w:p>
        </w:tc>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r>
      <w:tr>
        <w:trPr>
          <w:trHeight w:val="211"/>
        </w:trPr>
        <w:tc>
          <w:tcPr>
            <w:tcW w:w="980" w:type="dxa"/>
            <w:vAlign w:val="bottom"/>
          </w:tcPr>
          <w:p>
            <w:pPr>
              <w:spacing w:after="0"/>
              <w:rPr>
                <w:sz w:val="18"/>
                <w:szCs w:val="18"/>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XBRL tags are embedded</w:t>
            </w:r>
          </w:p>
        </w:tc>
      </w:tr>
      <w:tr>
        <w:trPr>
          <w:trHeight w:val="216"/>
        </w:trPr>
        <w:tc>
          <w:tcPr>
            <w:tcW w:w="980" w:type="dxa"/>
            <w:vAlign w:val="bottom"/>
          </w:tcPr>
          <w:p>
            <w:pPr>
              <w:spacing w:after="0"/>
              <w:rPr>
                <w:sz w:val="18"/>
                <w:szCs w:val="18"/>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1"/>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101.SCH</w:t>
            </w:r>
          </w:p>
        </w:tc>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Inline XBRL Taxonomy Extension Schema With Embedded Linkbase</w:t>
            </w:r>
          </w:p>
        </w:tc>
      </w:tr>
      <w:tr>
        <w:trPr>
          <w:trHeight w:val="234"/>
        </w:trPr>
        <w:tc>
          <w:tcPr>
            <w:tcW w:w="980" w:type="dxa"/>
            <w:vAlign w:val="bottom"/>
          </w:tcPr>
          <w:p>
            <w:pPr>
              <w:spacing w:after="0"/>
              <w:rPr>
                <w:sz w:val="20"/>
                <w:szCs w:val="20"/>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Documents</w:t>
            </w:r>
          </w:p>
        </w:tc>
      </w:tr>
    </w:tbl>
    <w:p>
      <w:pPr>
        <w:spacing w:after="0" w:line="17" w:lineRule="exact"/>
        <w:rPr>
          <w:sz w:val="20"/>
          <w:szCs w:val="20"/>
          <w:color w:val="auto"/>
        </w:rPr>
      </w:pPr>
    </w:p>
    <w:p>
      <w:pPr>
        <w:ind w:left="1120" w:right="3820" w:hanging="755"/>
        <w:spacing w:after="0" w:line="282" w:lineRule="auto"/>
        <w:tabs>
          <w:tab w:leader="none" w:pos="11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8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20" w:h="16838" w:orient="portrait"/>
          <w:cols w:equalWidth="0" w:num="2">
            <w:col w:w="9900" w:space="720"/>
            <w:col w:w="640"/>
          </w:cols>
          <w:pgMar w:left="340" w:top="976" w:right="318"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ind w:right="300" w:firstLine="75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29, 2026</w:t>
            </w:r>
          </w:p>
        </w:tc>
        <w:tc>
          <w:tcPr>
            <w:tcW w:w="762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OFS CAPITAL CORPORATION</w:t>
            </w:r>
          </w:p>
        </w:tc>
      </w:tr>
      <w:tr>
        <w:trPr>
          <w:trHeight w:val="601"/>
        </w:trPr>
        <w:tc>
          <w:tcPr>
            <w:tcW w:w="3640" w:type="dxa"/>
            <w:vAlign w:val="bottom"/>
          </w:tcPr>
          <w:p>
            <w:pPr>
              <w:spacing w:after="0"/>
              <w:rPr>
                <w:sz w:val="24"/>
                <w:szCs w:val="24"/>
                <w:color w:val="auto"/>
              </w:rPr>
            </w:pPr>
          </w:p>
        </w:tc>
        <w:tc>
          <w:tcPr>
            <w:tcW w:w="25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Bilal Rashid</w:t>
            </w:r>
          </w:p>
        </w:tc>
      </w:tr>
      <w:tr>
        <w:trPr>
          <w:trHeight w:val="243"/>
        </w:trPr>
        <w:tc>
          <w:tcPr>
            <w:tcW w:w="3640" w:type="dxa"/>
            <w:vAlign w:val="bottom"/>
          </w:tcPr>
          <w:p>
            <w:pPr>
              <w:spacing w:after="0"/>
              <w:rPr>
                <w:sz w:val="21"/>
                <w:szCs w:val="21"/>
                <w:color w:val="auto"/>
              </w:rPr>
            </w:pPr>
          </w:p>
        </w:tc>
        <w:tc>
          <w:tcPr>
            <w:tcW w:w="25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Name:</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Bilal Rashid</w:t>
            </w:r>
          </w:p>
        </w:tc>
      </w:tr>
      <w:tr>
        <w:trPr>
          <w:trHeight w:val="283"/>
        </w:trPr>
        <w:tc>
          <w:tcPr>
            <w:tcW w:w="3640" w:type="dxa"/>
            <w:vAlign w:val="bottom"/>
          </w:tcPr>
          <w:p>
            <w:pPr>
              <w:spacing w:after="0"/>
              <w:rPr>
                <w:sz w:val="24"/>
                <w:szCs w:val="24"/>
                <w:color w:val="auto"/>
              </w:rPr>
            </w:pPr>
          </w:p>
        </w:tc>
        <w:tc>
          <w:tcPr>
            <w:tcW w:w="25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01"/>
        </w:trPr>
        <w:tc>
          <w:tcPr>
            <w:tcW w:w="3640" w:type="dxa"/>
            <w:vAlign w:val="bottom"/>
          </w:tcPr>
          <w:p>
            <w:pPr>
              <w:spacing w:after="0"/>
              <w:rPr>
                <w:sz w:val="24"/>
                <w:szCs w:val="24"/>
                <w:color w:val="auto"/>
              </w:rPr>
            </w:pPr>
          </w:p>
        </w:tc>
        <w:tc>
          <w:tcPr>
            <w:tcW w:w="25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Kyle Spina</w:t>
            </w:r>
          </w:p>
        </w:tc>
      </w:tr>
      <w:tr>
        <w:trPr>
          <w:trHeight w:val="257"/>
        </w:trPr>
        <w:tc>
          <w:tcPr>
            <w:tcW w:w="3640" w:type="dxa"/>
            <w:vAlign w:val="bottom"/>
          </w:tcPr>
          <w:p>
            <w:pPr>
              <w:spacing w:after="0"/>
              <w:rPr>
                <w:sz w:val="22"/>
                <w:szCs w:val="22"/>
                <w:color w:val="auto"/>
              </w:rPr>
            </w:pPr>
          </w:p>
        </w:tc>
        <w:tc>
          <w:tcPr>
            <w:tcW w:w="25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Name:</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Kyle Spina</w:t>
            </w:r>
          </w:p>
        </w:tc>
      </w:tr>
      <w:tr>
        <w:trPr>
          <w:trHeight w:val="283"/>
        </w:trPr>
        <w:tc>
          <w:tcPr>
            <w:tcW w:w="3640" w:type="dxa"/>
            <w:vAlign w:val="bottom"/>
          </w:tcPr>
          <w:p>
            <w:pPr>
              <w:spacing w:after="0"/>
              <w:rPr>
                <w:sz w:val="24"/>
                <w:szCs w:val="24"/>
                <w:color w:val="auto"/>
              </w:rPr>
            </w:pPr>
          </w:p>
        </w:tc>
        <w:tc>
          <w:tcPr>
            <w:tcW w:w="25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640" w:type="dxa"/>
            <w:vAlign w:val="bottom"/>
          </w:tcPr>
          <w:p>
            <w:pPr>
              <w:spacing w:after="0"/>
              <w:rPr>
                <w:sz w:val="24"/>
                <w:szCs w:val="24"/>
                <w:color w:val="auto"/>
              </w:rPr>
            </w:pPr>
          </w:p>
        </w:tc>
        <w:tc>
          <w:tcPr>
            <w:tcW w:w="25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65</w:t>
            </w:r>
          </w:p>
        </w:tc>
        <w:tc>
          <w:tcPr>
            <w:tcW w:w="5060" w:type="dxa"/>
            <w:vAlign w:val="bottom"/>
          </w:tcPr>
          <w:p>
            <w:pPr>
              <w:spacing w:after="0"/>
              <w:rPr>
                <w:sz w:val="24"/>
                <w:szCs w:val="24"/>
                <w:color w:val="auto"/>
              </w:rPr>
            </w:pPr>
          </w:p>
        </w:tc>
      </w:tr>
      <w:tr>
        <w:trPr>
          <w:trHeight w:val="763"/>
        </w:trPr>
        <w:tc>
          <w:tcPr>
            <w:tcW w:w="36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60"/>
          </w:cols>
          <w:pgMar w:left="340" w:top="976" w:right="318" w:bottom="1440" w:gutter="0" w:footer="0" w:header="0"/>
        </w:sectPr>
      </w:pPr>
    </w:p>
    <w:bookmarkStart w:id="69" w:name="page70"/>
    <w:bookmarkEnd w:id="69"/>
    <w:p>
      <w:pPr>
        <w:spacing w:after="0" w:line="20" w:lineRule="exact"/>
        <w:rPr>
          <w:sz w:val="20"/>
          <w:szCs w:val="20"/>
          <w:color w:val="auto"/>
        </w:rPr>
      </w:pPr>
    </w:p>
    <w:p>
      <w:pPr>
        <w:sectPr>
          <w:pgSz w:w="11920" w:h="16838" w:orient="portrait"/>
          <w:cols w:equalWidth="1" w:num="1" w:space="0"/>
          <w:pgMar w:left="1440" w:top="1440" w:right="1440" w:bottom="875"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569595</wp:posOffset>
            </wp:positionH>
            <wp:positionV relativeFrom="page">
              <wp:posOffset>358140</wp:posOffset>
            </wp:positionV>
            <wp:extent cx="6450330" cy="82423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5">
                      <a:extLst>
                        <a:ext uri="{28A0092B-C50C-407E-A947-70E740481C1C}"/>
                      </a:extLst>
                    </a:blip>
                    <a:srcRect/>
                    <a:stretch>
                      <a:fillRect/>
                    </a:stretch>
                  </pic:blipFill>
                  <pic:spPr bwMode="auto">
                    <a:xfrm>
                      <a:off x="0" y="0"/>
                      <a:ext cx="6450330" cy="8242300"/>
                    </a:xfrm>
                    <a:prstGeom prst="rect">
                      <a:avLst/>
                    </a:prstGeom>
                    <a:noFill/>
                  </pic:spPr>
                </pic:pic>
              </a:graphicData>
            </a:graphic>
          </wp:anchor>
        </w:drawing>
        <w:t>Exhibit 14.1</w:t>
      </w:r>
    </w:p>
    <w:p>
      <w:pPr>
        <w:spacing w:after="0" w:line="221" w:lineRule="exact"/>
        <w:rPr>
          <w:sz w:val="20"/>
          <w:szCs w:val="20"/>
          <w:color w:val="auto"/>
        </w:rPr>
      </w:pPr>
    </w:p>
    <w:p>
      <w:pPr>
        <w:ind w:left="2060" w:right="2140" w:hanging="147"/>
        <w:spacing w:after="0" w:line="260" w:lineRule="auto"/>
        <w:rPr>
          <w:sz w:val="20"/>
          <w:szCs w:val="20"/>
          <w:color w:val="auto"/>
        </w:rPr>
      </w:pPr>
      <w:r>
        <w:rPr>
          <w:rFonts w:ascii="Times New Roman" w:cs="Times New Roman" w:eastAsia="Times New Roman" w:hAnsi="Times New Roman"/>
          <w:sz w:val="39"/>
          <w:szCs w:val="39"/>
          <w:b w:val="1"/>
          <w:bCs w:val="1"/>
          <w:color w:val="auto"/>
        </w:rPr>
        <w:t>OFS Capital Management, LLC OFS CLO Management, LLC</w:t>
      </w:r>
    </w:p>
    <w:p>
      <w:pPr>
        <w:ind w:left="2020"/>
        <w:spacing w:after="0"/>
        <w:rPr>
          <w:sz w:val="20"/>
          <w:szCs w:val="20"/>
          <w:color w:val="auto"/>
        </w:rPr>
      </w:pPr>
      <w:r>
        <w:rPr>
          <w:rFonts w:ascii="Times New Roman" w:cs="Times New Roman" w:eastAsia="Times New Roman" w:hAnsi="Times New Roman"/>
          <w:sz w:val="40"/>
          <w:szCs w:val="40"/>
          <w:b w:val="1"/>
          <w:bCs w:val="1"/>
          <w:color w:val="auto"/>
        </w:rPr>
        <w:t>OFS CLO Management II, LLC</w:t>
      </w:r>
    </w:p>
    <w:p>
      <w:pPr>
        <w:spacing w:after="0" w:line="6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40"/>
          <w:szCs w:val="40"/>
          <w:b w:val="1"/>
          <w:bCs w:val="1"/>
          <w:color w:val="auto"/>
        </w:rPr>
        <w:t>OFS CLO Management III, LLC</w:t>
      </w:r>
    </w:p>
    <w:p>
      <w:pPr>
        <w:spacing w:after="0" w:line="5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40"/>
          <w:szCs w:val="40"/>
          <w:b w:val="1"/>
          <w:bCs w:val="1"/>
          <w:color w:val="auto"/>
        </w:rPr>
        <w:t>OFS Capital Corporation</w:t>
      </w:r>
    </w:p>
    <w:p>
      <w:pPr>
        <w:spacing w:after="0" w:line="2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40"/>
          <w:szCs w:val="40"/>
          <w:b w:val="1"/>
          <w:bCs w:val="1"/>
          <w:color w:val="auto"/>
        </w:rPr>
        <w:t>OFS Credit Company, Inc.</w:t>
      </w:r>
    </w:p>
    <w:p>
      <w:pPr>
        <w:jc w:val="center"/>
        <w:ind w:right="200"/>
        <w:spacing w:after="0"/>
        <w:rPr>
          <w:sz w:val="20"/>
          <w:szCs w:val="20"/>
          <w:color w:val="auto"/>
        </w:rPr>
      </w:pPr>
      <w:r>
        <w:rPr>
          <w:rFonts w:ascii="Times New Roman" w:cs="Times New Roman" w:eastAsia="Times New Roman" w:hAnsi="Times New Roman"/>
          <w:sz w:val="40"/>
          <w:szCs w:val="40"/>
          <w:b w:val="1"/>
          <w:bCs w:val="1"/>
          <w:color w:val="auto"/>
        </w:rPr>
        <w:t>Hancock Park Corporate Income,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40"/>
          <w:szCs w:val="40"/>
          <w:b w:val="1"/>
          <w:bCs w:val="1"/>
          <w:color w:val="auto"/>
        </w:rPr>
        <w:t>Code of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9"/>
          <w:szCs w:val="29"/>
          <w:b w:val="1"/>
          <w:bCs w:val="1"/>
          <w:color w:val="auto"/>
        </w:rPr>
        <w:t>Restated and Adopted on August 19,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220"/>
        <w:spacing w:after="0" w:line="244" w:lineRule="auto"/>
        <w:rPr>
          <w:sz w:val="20"/>
          <w:szCs w:val="20"/>
          <w:color w:val="auto"/>
        </w:rPr>
      </w:pPr>
      <w:r>
        <w:rPr>
          <w:rFonts w:ascii="Times New Roman" w:cs="Times New Roman" w:eastAsia="Times New Roman" w:hAnsi="Times New Roman"/>
          <w:sz w:val="22"/>
          <w:szCs w:val="22"/>
          <w:color w:val="auto"/>
        </w:rPr>
        <w:t>This Code of Ethics is the property of OFS Capital Management, LLC, OFS CLO Management, LLC, OFS CLO Management II, LLC, OFS CLO Management III, LLC and certain affiliated entities and must be returned to it if an individual’s association with it terminates for any reason.</w:t>
      </w:r>
    </w:p>
    <w:p>
      <w:pPr>
        <w:spacing w:after="0" w:line="119" w:lineRule="exact"/>
        <w:rPr>
          <w:sz w:val="20"/>
          <w:szCs w:val="20"/>
          <w:color w:val="auto"/>
        </w:rPr>
      </w:pPr>
    </w:p>
    <w:p>
      <w:pPr>
        <w:jc w:val="both"/>
        <w:ind w:right="220"/>
        <w:spacing w:after="0" w:line="244" w:lineRule="auto"/>
        <w:rPr>
          <w:sz w:val="20"/>
          <w:szCs w:val="20"/>
          <w:color w:val="auto"/>
        </w:rPr>
      </w:pPr>
      <w:r>
        <w:rPr>
          <w:rFonts w:ascii="Times New Roman" w:cs="Times New Roman" w:eastAsia="Times New Roman" w:hAnsi="Times New Roman"/>
          <w:sz w:val="22"/>
          <w:szCs w:val="22"/>
          <w:color w:val="auto"/>
        </w:rPr>
        <w:t>The content of this Code of Ethics is confidential and should not be revealed to third parties without the consent of the Chief Compliance Officer (“CCO”). The policies and procedures set forth herein supersede previous versions.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1366520</wp:posOffset>
            </wp:positionV>
            <wp:extent cx="703770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20" w:h="16838" w:orient="portrait"/>
          <w:cols w:equalWidth="0" w:num="1">
            <w:col w:w="9520"/>
          </w:cols>
          <w:pgMar w:left="1320" w:top="1408" w:right="1078" w:bottom="1440" w:gutter="0" w:footer="0" w:header="0"/>
        </w:sectPr>
      </w:pPr>
    </w:p>
    <w:bookmarkStart w:id="71" w:name="page72"/>
    <w:bookmarkEnd w:id="71"/>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00" w:type="dxa"/>
            <w:vAlign w:val="bottom"/>
          </w:tcPr>
          <w:p>
            <w:pPr>
              <w:spacing w:after="0"/>
              <w:rPr>
                <w:sz w:val="24"/>
                <w:szCs w:val="24"/>
                <w:color w:val="auto"/>
              </w:rPr>
            </w:pPr>
          </w:p>
        </w:tc>
        <w:tc>
          <w:tcPr>
            <w:tcW w:w="9880" w:type="dxa"/>
            <w:vAlign w:val="bottom"/>
          </w:tcPr>
          <w:p>
            <w:pPr>
              <w:ind w:left="386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440" w:type="dxa"/>
            <w:vAlign w:val="bottom"/>
          </w:tcPr>
          <w:p>
            <w:pPr>
              <w:spacing w:after="0"/>
              <w:rPr>
                <w:sz w:val="24"/>
                <w:szCs w:val="24"/>
                <w:color w:val="auto"/>
              </w:rPr>
            </w:pPr>
          </w:p>
        </w:tc>
      </w:tr>
      <w:tr>
        <w:trPr>
          <w:trHeight w:val="461"/>
        </w:trPr>
        <w:tc>
          <w:tcPr>
            <w:tcW w:w="600" w:type="dxa"/>
            <w:vAlign w:val="bottom"/>
          </w:tcPr>
          <w:p>
            <w:pPr>
              <w:spacing w:after="0"/>
              <w:rPr>
                <w:sz w:val="24"/>
                <w:szCs w:val="24"/>
                <w:color w:val="auto"/>
              </w:rPr>
            </w:pPr>
          </w:p>
        </w:tc>
        <w:tc>
          <w:tcPr>
            <w:tcW w:w="988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545"/>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98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GENERAL (CODE OF ETHICS)</w:t>
            </w:r>
          </w:p>
        </w:tc>
        <w:tc>
          <w:tcPr>
            <w:tcW w:w="4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3</w:t>
            </w:r>
          </w:p>
        </w:tc>
      </w:tr>
      <w:tr>
        <w:trPr>
          <w:trHeight w:val="513"/>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II.</w:t>
            </w:r>
          </w:p>
        </w:tc>
        <w:tc>
          <w:tcPr>
            <w:tcW w:w="98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PERSONAL INVESTMENT POLICY</w:t>
            </w:r>
          </w:p>
        </w:tc>
        <w:tc>
          <w:tcPr>
            <w:tcW w:w="4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13</w:t>
            </w:r>
          </w:p>
        </w:tc>
      </w:tr>
      <w:tr>
        <w:trPr>
          <w:trHeight w:val="513"/>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III.</w:t>
            </w:r>
          </w:p>
        </w:tc>
        <w:tc>
          <w:tcPr>
            <w:tcW w:w="98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INSIDE INFORMATION POLICY</w:t>
            </w:r>
          </w:p>
        </w:tc>
        <w:tc>
          <w:tcPr>
            <w:tcW w:w="4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24</w:t>
            </w:r>
          </w:p>
        </w:tc>
      </w:tr>
      <w:tr>
        <w:trPr>
          <w:trHeight w:val="513"/>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IV.</w:t>
            </w:r>
          </w:p>
        </w:tc>
        <w:tc>
          <w:tcPr>
            <w:tcW w:w="98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GIFTS, ENTERTAINMENT AND POLITICAL ACTIVITIES</w:t>
            </w:r>
          </w:p>
        </w:tc>
        <w:tc>
          <w:tcPr>
            <w:tcW w:w="4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32</w:t>
            </w:r>
          </w:p>
        </w:tc>
      </w:tr>
      <w:tr>
        <w:trPr>
          <w:trHeight w:val="513"/>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V.</w:t>
            </w:r>
          </w:p>
        </w:tc>
        <w:tc>
          <w:tcPr>
            <w:tcW w:w="98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OUTSIDE AFFILIATIONS POLICY</w:t>
            </w:r>
          </w:p>
        </w:tc>
        <w:tc>
          <w:tcPr>
            <w:tcW w:w="4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39</w:t>
            </w:r>
          </w:p>
        </w:tc>
      </w:tr>
      <w:tr>
        <w:trPr>
          <w:trHeight w:val="500"/>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VI.</w:t>
            </w:r>
          </w:p>
        </w:tc>
        <w:tc>
          <w:tcPr>
            <w:tcW w:w="98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ANTI-CORRUPTION POLICY</w:t>
            </w:r>
          </w:p>
        </w:tc>
        <w:tc>
          <w:tcPr>
            <w:tcW w:w="4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41</w:t>
            </w:r>
          </w:p>
        </w:tc>
      </w:tr>
      <w:tr>
        <w:trPr>
          <w:trHeight w:val="513"/>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VII.</w:t>
            </w:r>
          </w:p>
        </w:tc>
        <w:tc>
          <w:tcPr>
            <w:tcW w:w="98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ACCEPTABLE USE POLICY</w:t>
            </w:r>
          </w:p>
        </w:tc>
        <w:tc>
          <w:tcPr>
            <w:tcW w:w="4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44</w:t>
            </w:r>
          </w:p>
        </w:tc>
      </w:tr>
      <w:tr>
        <w:trPr>
          <w:trHeight w:val="513"/>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VIII.</w:t>
            </w:r>
          </w:p>
        </w:tc>
        <w:tc>
          <w:tcPr>
            <w:tcW w:w="98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PERSONAL USE OF FIRM RESOURCES AND RELATIONSHIP POLICY</w:t>
            </w:r>
          </w:p>
        </w:tc>
        <w:tc>
          <w:tcPr>
            <w:tcW w:w="4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45</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ATTACHMENT A</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ATTACHMENT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1043940</wp:posOffset>
            </wp:positionV>
            <wp:extent cx="71831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920"/>
          </w:cols>
          <w:pgMar w:left="340" w:top="1440" w:right="658" w:bottom="1440" w:gutter="0" w:footer="0" w:header="0"/>
        </w:sectPr>
      </w:pPr>
    </w:p>
    <w:bookmarkStart w:id="72" w:name="page73"/>
    <w:bookmarkEnd w:id="72"/>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23150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8">
                      <a:extLst>
                        <a:ext uri="{28A0092B-C50C-407E-A947-70E740481C1C}"/>
                      </a:extLst>
                    </a:blip>
                    <a:srcRect/>
                    <a:stretch>
                      <a:fillRect/>
                    </a:stretch>
                  </pic:blipFill>
                  <pic:spPr bwMode="auto">
                    <a:xfrm>
                      <a:off x="0" y="0"/>
                      <a:ext cx="7162165" cy="8231505"/>
                    </a:xfrm>
                    <a:prstGeom prst="rect">
                      <a:avLst/>
                    </a:prstGeom>
                    <a:noFill/>
                  </pic:spPr>
                </pic:pic>
              </a:graphicData>
            </a:graphic>
          </wp:anchor>
        </w:drawing>
      </w:r>
    </w:p>
    <w:p>
      <w:pPr>
        <w:ind w:left="3520" w:hanging="696"/>
        <w:spacing w:after="0"/>
        <w:tabs>
          <w:tab w:leader="none" w:pos="352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 (CODE OF ETHICS)</w:t>
      </w:r>
    </w:p>
    <w:p>
      <w:pPr>
        <w:spacing w:after="0" w:line="206" w:lineRule="exact"/>
        <w:rPr>
          <w:sz w:val="20"/>
          <w:szCs w:val="20"/>
          <w:color w:val="auto"/>
        </w:rPr>
      </w:pPr>
    </w:p>
    <w:p>
      <w:pPr>
        <w:ind w:left="800" w:hanging="687"/>
        <w:spacing w:after="0"/>
        <w:tabs>
          <w:tab w:leader="none" w:pos="80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210" w:lineRule="exact"/>
        <w:rPr>
          <w:sz w:val="20"/>
          <w:szCs w:val="20"/>
          <w:color w:val="auto"/>
        </w:rPr>
      </w:pPr>
    </w:p>
    <w:p>
      <w:pPr>
        <w:jc w:val="both"/>
        <w:ind w:left="120" w:right="100" w:firstLine="692"/>
        <w:spacing w:after="0" w:line="245" w:lineRule="auto"/>
        <w:rPr>
          <w:sz w:val="20"/>
          <w:szCs w:val="20"/>
          <w:color w:val="auto"/>
        </w:rPr>
      </w:pPr>
      <w:r>
        <w:rPr>
          <w:rFonts w:ascii="Times New Roman" w:cs="Times New Roman" w:eastAsia="Times New Roman" w:hAnsi="Times New Roman"/>
          <w:sz w:val="21"/>
          <w:szCs w:val="21"/>
          <w:color w:val="auto"/>
        </w:rPr>
        <w:t>The Code of Ethics (“Code”) has been jointly adopted by OFS Capital Management, OFS CLO Management, LLC, OFS CLO Management II, LLC and OFS CLO Management III, LLC (collectively, “OFS Adviser” or the "Firm”) and certain entities that are controlled by or under common control with OFS Adviser (“Affiliates”), as determined from time to time by Senior Management, and each of OFS Capital Corporation, Hancock Park Corporate Income, Inc., OFS Credit Company, Inc. and any investment company that OFS Adviser may sponsor and/or manage from time to time (each, an “OFS Fund” and collectively, “OFS Funds”) in order to establish applicable policies, guidelines and procedures that promote ethical practices and conduct by all Supervised Persons of OFS Adviser, including, but not limited to, certain employees, interns, consultants, temporary employees, principals and others designated by the Compliance Department, and that prevent violations of applicable laws including the Investment Advisers Act of 1940, as amended (“Advisers Act”) and the Investment Company Act of</w:t>
      </w:r>
    </w:p>
    <w:p>
      <w:pPr>
        <w:spacing w:after="0" w:line="9" w:lineRule="exact"/>
        <w:rPr>
          <w:sz w:val="20"/>
          <w:szCs w:val="20"/>
          <w:color w:val="auto"/>
        </w:rPr>
      </w:pPr>
    </w:p>
    <w:p>
      <w:pPr>
        <w:jc w:val="both"/>
        <w:ind w:left="120" w:right="100"/>
        <w:spacing w:after="0" w:line="232" w:lineRule="auto"/>
        <w:rPr>
          <w:sz w:val="20"/>
          <w:szCs w:val="20"/>
          <w:color w:val="auto"/>
        </w:rPr>
      </w:pPr>
      <w:r>
        <w:rPr>
          <w:rFonts w:ascii="Times New Roman" w:cs="Times New Roman" w:eastAsia="Times New Roman" w:hAnsi="Times New Roman"/>
          <w:sz w:val="21"/>
          <w:szCs w:val="21"/>
          <w:color w:val="auto"/>
        </w:rPr>
        <w:t>1940, as amended (“Company Act”).</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“Supervised Person” is defined as any director, officer, member or employee (or other person occupying similar status or performing similar functions) of OFS Adviser or any other person who</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provides investment advice on behalf of OFS Adviser and is subject to the supervision and control of OFS Adviser</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color w:val="auto"/>
        </w:rPr>
        <w:t>.</w:t>
      </w:r>
    </w:p>
    <w:p>
      <w:pPr>
        <w:spacing w:after="0" w:line="72" w:lineRule="exact"/>
        <w:rPr>
          <w:sz w:val="20"/>
          <w:szCs w:val="20"/>
          <w:color w:val="auto"/>
        </w:rPr>
      </w:pPr>
    </w:p>
    <w:p>
      <w:pPr>
        <w:jc w:val="both"/>
        <w:ind w:left="120" w:right="100" w:firstLine="692"/>
        <w:spacing w:after="0" w:line="236" w:lineRule="auto"/>
        <w:rPr>
          <w:sz w:val="20"/>
          <w:szCs w:val="20"/>
          <w:color w:val="auto"/>
        </w:rPr>
      </w:pPr>
      <w:r>
        <w:rPr>
          <w:rFonts w:ascii="Times New Roman" w:cs="Times New Roman" w:eastAsia="Times New Roman" w:hAnsi="Times New Roman"/>
          <w:sz w:val="22"/>
          <w:szCs w:val="22"/>
          <w:color w:val="auto"/>
        </w:rPr>
        <w:t>Unless instructed otherwise or approved by the Compliance Department, temporary employees and consultants will generally be deemed a Supervised Person if the employee’s or consultant’s work assignment or engagement exceeds ninety (90) calendar days. This Code is available to all Supervised Persons on OFS Adviser’s compliance portal. All Supervised Persons must read it carefully and certify at least annually (and at such other times that a Compliance Officer may request) that they have read and understand, and agree to abide by the Code.</w:t>
      </w:r>
    </w:p>
    <w:p>
      <w:pPr>
        <w:spacing w:after="0" w:line="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The Code is designed to address conflicts of interest that may arise in an employee’s personal dealings as</w:t>
      </w:r>
    </w:p>
    <w:p>
      <w:pPr>
        <w:spacing w:after="0" w:line="35" w:lineRule="exact"/>
        <w:rPr>
          <w:sz w:val="20"/>
          <w:szCs w:val="20"/>
          <w:color w:val="auto"/>
        </w:rPr>
      </w:pPr>
    </w:p>
    <w:p>
      <w:pPr>
        <w:jc w:val="both"/>
        <w:ind w:left="120" w:right="100"/>
        <w:spacing w:after="0" w:line="223" w:lineRule="auto"/>
        <w:rPr>
          <w:sz w:val="20"/>
          <w:szCs w:val="20"/>
          <w:color w:val="auto"/>
        </w:rPr>
      </w:pPr>
      <w:r>
        <w:rPr>
          <w:rFonts w:ascii="Times New Roman" w:cs="Times New Roman" w:eastAsia="Times New Roman" w:hAnsi="Times New Roman"/>
          <w:sz w:val="22"/>
          <w:szCs w:val="22"/>
          <w:color w:val="auto"/>
        </w:rPr>
        <w:t>well as those on behalf of the Firm and its Advisory Clients</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22"/>
          <w:szCs w:val="22"/>
          <w:color w:val="auto"/>
        </w:rPr>
        <w:t>. The following policies comprise the Code and address certain of these conflicts:</w:t>
      </w:r>
    </w:p>
    <w:p>
      <w:pPr>
        <w:spacing w:after="0" w:line="69" w:lineRule="exact"/>
        <w:rPr>
          <w:sz w:val="20"/>
          <w:szCs w:val="20"/>
          <w:color w:val="auto"/>
        </w:rPr>
      </w:pPr>
    </w:p>
    <w:p>
      <w:pPr>
        <w:ind w:left="1840" w:hanging="344"/>
        <w:spacing w:after="0"/>
        <w:tabs>
          <w:tab w:leader="none" w:pos="18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Personal Investment Policy,</w:t>
      </w:r>
    </w:p>
    <w:p>
      <w:pPr>
        <w:spacing w:after="0" w:line="313" w:lineRule="exact"/>
        <w:rPr>
          <w:sz w:val="20"/>
          <w:szCs w:val="20"/>
          <w:color w:val="auto"/>
        </w:rPr>
      </w:pPr>
    </w:p>
    <w:p>
      <w:pPr>
        <w:ind w:firstLine="3"/>
        <w:spacing w:after="0" w:line="201" w:lineRule="auto"/>
        <w:tabs>
          <w:tab w:leader="none" w:pos="105"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Code is adopted by OFS Adviser and each OFS Fund pursuant to and in accordance with the requirements of each of Rules 204A-1 and 206(4)- 7 under the Advisers Act and Rules 17j-1 and 38a-1under the Company Act.</w:t>
      </w:r>
    </w:p>
    <w:p>
      <w:pPr>
        <w:spacing w:after="0" w:line="26" w:lineRule="exact"/>
        <w:rPr>
          <w:sz w:val="20"/>
          <w:szCs w:val="20"/>
          <w:color w:val="auto"/>
        </w:rPr>
      </w:pPr>
    </w:p>
    <w:p>
      <w:pPr>
        <w:ind w:firstLine="3"/>
        <w:spacing w:after="0"/>
        <w:tabs>
          <w:tab w:leader="none" w:pos="105" w:val="left"/>
        </w:tabs>
        <w:numPr>
          <w:ilvl w:val="0"/>
          <w:numId w:val="3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Chief Compliance Officer or his/her designee may consider any director, officer, member, principal or employee, including, but not limited to, intern, consultants and temporary employees, of an Affiliate of OFS Adviser to be a Supervised Person of OFS Adviser if the Chief Compliance Officer determines that such person performs services for OFS Adviser, through any staffing or similar agreement, such that the person would constitute a Supervised Person if such person was a director, officer, member, employee, intern or temporary employee of OFS Adviser. The Compliance Department maintains a list of all such persons and whether each person is (1) a Supervised Person and (2) an Access Person and will notify each person of relevant requirements. The majority of OFS Adviser’s personnel are employees of Orchard First Source Capital, Inc., an Affiliate of OFS Adviser.</w:t>
      </w:r>
    </w:p>
    <w:p>
      <w:pPr>
        <w:ind w:left="100" w:hanging="97"/>
        <w:spacing w:after="0" w:line="208" w:lineRule="auto"/>
        <w:tabs>
          <w:tab w:leader="none" w:pos="10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Advisory Client means any individual, group of individuals, partnership, trust, company or other investment fund entity for whom OFS Adviser acts as investment adviser. For</w:t>
      </w:r>
    </w:p>
    <w:p>
      <w:pPr>
        <w:spacing w:after="0" w:line="11" w:lineRule="exact"/>
        <w:rPr>
          <w:sz w:val="20"/>
          <w:szCs w:val="20"/>
          <w:color w:val="auto"/>
        </w:rPr>
      </w:pPr>
    </w:p>
    <w:p>
      <w:pPr>
        <w:jc w:val="both"/>
        <w:ind w:right="220"/>
        <w:spacing w:after="0" w:line="233" w:lineRule="auto"/>
        <w:rPr>
          <w:sz w:val="20"/>
          <w:szCs w:val="20"/>
          <w:color w:val="auto"/>
        </w:rPr>
      </w:pPr>
      <w:r>
        <w:rPr>
          <w:rFonts w:ascii="Times New Roman" w:cs="Times New Roman" w:eastAsia="Times New Roman" w:hAnsi="Times New Roman"/>
          <w:sz w:val="14"/>
          <w:szCs w:val="14"/>
          <w:color w:val="auto"/>
        </w:rPr>
        <w:t>example, any OFS Fund is an Advisory Client. For the avoidance of doubt, Advisory Clients include public and private investment funds, including comingled funds and single investor funds (“Funds”) and managed accounts managed by OFS Adviser, but do not include the underlying individual investors in such Funds (“Investors”), although certain protections afforded to Advisory Clients pursuant to this Code do extend to Investors through Rule 206(4)-8 of the Advisers Act.</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-3-</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803910</wp:posOffset>
            </wp:positionV>
            <wp:extent cx="71831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360"/>
          </w:cols>
          <w:pgMar w:left="780" w:top="1440" w:right="778" w:bottom="1440" w:gutter="0" w:footer="0" w:header="0"/>
        </w:sectPr>
      </w:pPr>
    </w:p>
    <w:bookmarkStart w:id="73" w:name="page74"/>
    <w:bookmarkEnd w:id="73"/>
    <w:p>
      <w:pPr>
        <w:spacing w:after="0" w:line="2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70331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0">
                      <a:extLst>
                        <a:ext uri="{28A0092B-C50C-407E-A947-70E740481C1C}"/>
                      </a:extLst>
                    </a:blip>
                    <a:srcRect/>
                    <a:stretch>
                      <a:fillRect/>
                    </a:stretch>
                  </pic:blipFill>
                  <pic:spPr bwMode="auto">
                    <a:xfrm>
                      <a:off x="0" y="0"/>
                      <a:ext cx="7162165" cy="8703310"/>
                    </a:xfrm>
                    <a:prstGeom prst="rect">
                      <a:avLst/>
                    </a:prstGeom>
                    <a:noFill/>
                  </pic:spPr>
                </pic:pic>
              </a:graphicData>
            </a:graphic>
          </wp:anchor>
        </w:drawing>
      </w:r>
    </w:p>
    <w:p>
      <w:pPr>
        <w:ind w:left="1727" w:hanging="344"/>
        <w:spacing w:after="0"/>
        <w:tabs>
          <w:tab w:leader="none" w:pos="172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 Information Policy,</w:t>
      </w:r>
    </w:p>
    <w:p>
      <w:pPr>
        <w:spacing w:after="0" w:line="14" w:lineRule="exact"/>
        <w:rPr>
          <w:rFonts w:ascii="Times New Roman" w:cs="Times New Roman" w:eastAsia="Times New Roman" w:hAnsi="Times New Roman"/>
          <w:sz w:val="22"/>
          <w:szCs w:val="22"/>
          <w:color w:val="auto"/>
        </w:rPr>
      </w:pPr>
    </w:p>
    <w:p>
      <w:pPr>
        <w:ind w:left="1727" w:hanging="344"/>
        <w:spacing w:after="0" w:line="230" w:lineRule="auto"/>
        <w:tabs>
          <w:tab w:leader="none" w:pos="172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Gifts and Entertainment Policy,</w:t>
      </w:r>
    </w:p>
    <w:p>
      <w:pPr>
        <w:ind w:left="1727" w:hanging="344"/>
        <w:spacing w:after="0" w:line="230" w:lineRule="auto"/>
        <w:tabs>
          <w:tab w:leader="none" w:pos="172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Political Activity Policy,</w:t>
      </w:r>
    </w:p>
    <w:p>
      <w:pPr>
        <w:ind w:left="1727" w:hanging="344"/>
        <w:spacing w:after="0" w:line="230" w:lineRule="auto"/>
        <w:tabs>
          <w:tab w:leader="none" w:pos="172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Outside Affiliations Policy,</w:t>
      </w:r>
    </w:p>
    <w:p>
      <w:pPr>
        <w:ind w:left="1727" w:hanging="344"/>
        <w:spacing w:after="0" w:line="230" w:lineRule="auto"/>
        <w:tabs>
          <w:tab w:leader="none" w:pos="172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Anti-Corruption Policy,</w:t>
      </w:r>
    </w:p>
    <w:p>
      <w:pPr>
        <w:ind w:left="1727" w:hanging="344"/>
        <w:spacing w:after="0"/>
        <w:tabs>
          <w:tab w:leader="none" w:pos="172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OFS Acceptable Use Policy; and</w:t>
      </w:r>
    </w:p>
    <w:p>
      <w:pPr>
        <w:spacing w:after="0" w:line="3" w:lineRule="exact"/>
        <w:rPr>
          <w:rFonts w:ascii="Times New Roman" w:cs="Times New Roman" w:eastAsia="Times New Roman" w:hAnsi="Times New Roman"/>
          <w:sz w:val="22"/>
          <w:szCs w:val="22"/>
          <w:color w:val="auto"/>
        </w:rPr>
      </w:pPr>
    </w:p>
    <w:p>
      <w:pPr>
        <w:ind w:left="1727" w:hanging="344"/>
        <w:spacing w:after="0"/>
        <w:tabs>
          <w:tab w:leader="none" w:pos="172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Personal Use of the Firm’s Resources and Relationships Policy</w:t>
      </w:r>
    </w:p>
    <w:p>
      <w:pPr>
        <w:spacing w:after="0" w:line="128" w:lineRule="exact"/>
        <w:rPr>
          <w:sz w:val="20"/>
          <w:szCs w:val="20"/>
          <w:color w:val="auto"/>
        </w:rPr>
      </w:pPr>
    </w:p>
    <w:p>
      <w:pPr>
        <w:jc w:val="both"/>
        <w:ind w:left="7" w:firstLine="692"/>
        <w:spacing w:after="0" w:line="244" w:lineRule="auto"/>
        <w:rPr>
          <w:sz w:val="20"/>
          <w:szCs w:val="20"/>
          <w:color w:val="auto"/>
        </w:rPr>
      </w:pPr>
      <w:r>
        <w:rPr>
          <w:rFonts w:ascii="Times New Roman" w:cs="Times New Roman" w:eastAsia="Times New Roman" w:hAnsi="Times New Roman"/>
          <w:sz w:val="22"/>
          <w:szCs w:val="22"/>
          <w:color w:val="auto"/>
        </w:rPr>
        <w:t>OFS Adviser and each OFS Fund require that all Supervised Persons of OFS Adviser observe the applicable standards of care set forth in these policies and not seek to evade the provisions of the Code in any way, including through indirect acts by Related Persons or other associates.</w:t>
      </w:r>
    </w:p>
    <w:p>
      <w:pPr>
        <w:spacing w:after="0" w:line="146" w:lineRule="exact"/>
        <w:rPr>
          <w:sz w:val="20"/>
          <w:szCs w:val="20"/>
          <w:color w:val="auto"/>
        </w:rPr>
      </w:pPr>
    </w:p>
    <w:p>
      <w:pPr>
        <w:jc w:val="both"/>
        <w:ind w:left="87" w:right="80"/>
        <w:spacing w:after="0" w:line="238" w:lineRule="auto"/>
        <w:rPr>
          <w:sz w:val="20"/>
          <w:szCs w:val="20"/>
          <w:color w:val="auto"/>
        </w:rPr>
      </w:pPr>
      <w:r>
        <w:rPr>
          <w:rFonts w:ascii="Times New Roman" w:cs="Times New Roman" w:eastAsia="Times New Roman" w:hAnsi="Times New Roman"/>
          <w:sz w:val="22"/>
          <w:szCs w:val="22"/>
          <w:color w:val="auto"/>
        </w:rPr>
        <w:t>All activities involving the OFS Funds are subject to the Company Act and the policies and procedures adopted by each OFS Fund in connection therewith as set forth in the Rule 38a-1 Compliance Manual (“38a-1 Manual”) for each OFS Fund. The obligations set forth in the Code and the 38a-1 Manual are in addition to and not in lieu of the policies and procedures set forth in the Firm’s Employee Handbook and any other Compliance Policies adopted by OFS Adviser in respect of the conduct of its business.</w:t>
      </w:r>
    </w:p>
    <w:p>
      <w:pPr>
        <w:spacing w:after="0" w:line="105" w:lineRule="exact"/>
        <w:rPr>
          <w:sz w:val="20"/>
          <w:szCs w:val="20"/>
          <w:color w:val="auto"/>
        </w:rPr>
      </w:pPr>
    </w:p>
    <w:p>
      <w:pPr>
        <w:ind w:left="687" w:hanging="687"/>
        <w:spacing w:after="0"/>
        <w:tabs>
          <w:tab w:leader="none" w:pos="687"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STATEMENT OF STANDARDS OF BUSINESS CONDUCT</w:t>
      </w:r>
    </w:p>
    <w:p>
      <w:pPr>
        <w:spacing w:after="0" w:line="102" w:lineRule="exact"/>
        <w:rPr>
          <w:sz w:val="20"/>
          <w:szCs w:val="20"/>
          <w:color w:val="auto"/>
        </w:rPr>
      </w:pPr>
    </w:p>
    <w:p>
      <w:pPr>
        <w:jc w:val="both"/>
        <w:ind w:left="7" w:firstLine="692"/>
        <w:spacing w:after="0" w:line="239" w:lineRule="auto"/>
        <w:rPr>
          <w:sz w:val="20"/>
          <w:szCs w:val="20"/>
          <w:color w:val="auto"/>
        </w:rPr>
      </w:pPr>
      <w:r>
        <w:rPr>
          <w:rFonts w:ascii="Times New Roman" w:cs="Times New Roman" w:eastAsia="Times New Roman" w:hAnsi="Times New Roman"/>
          <w:sz w:val="22"/>
          <w:szCs w:val="22"/>
          <w:color w:val="auto"/>
        </w:rPr>
        <w:t>As a fundamental mandate, OFS Adviser and each OFS Fund demand the highest standards of ethical conduct and care from all Supervised Persons and OFS Fund Directors. Supervised Persons and OFS Fund Directors must abide by this basic business standard and must not take inappropriate advantage of their position with the Firm or OFS Fund.</w:t>
      </w:r>
    </w:p>
    <w:p>
      <w:pPr>
        <w:spacing w:after="0" w:line="72" w:lineRule="exact"/>
        <w:rPr>
          <w:sz w:val="20"/>
          <w:szCs w:val="20"/>
          <w:color w:val="auto"/>
        </w:rPr>
      </w:pPr>
    </w:p>
    <w:p>
      <w:pPr>
        <w:jc w:val="both"/>
        <w:ind w:left="7" w:firstLine="692"/>
        <w:spacing w:after="0" w:line="239" w:lineRule="auto"/>
        <w:rPr>
          <w:sz w:val="20"/>
          <w:szCs w:val="20"/>
          <w:color w:val="auto"/>
        </w:rPr>
      </w:pPr>
      <w:r>
        <w:rPr>
          <w:rFonts w:ascii="Times New Roman" w:cs="Times New Roman" w:eastAsia="Times New Roman" w:hAnsi="Times New Roman"/>
          <w:sz w:val="22"/>
          <w:szCs w:val="22"/>
          <w:color w:val="auto"/>
        </w:rPr>
        <w:t>Each Supervised Person and OFS Fund Director is under a duty to exercise his or her authority and responsibility for the primary benefit of OFS Adviser’s Advisory Clients, including the OFS Funds, and the Firm, and may not have outside interests or engage in activities that inappropriately conflict or appear to conflict with the interests of the Firm or its Advisory Clients, including the OFS Funds. Examples of such conflicts include:</w:t>
      </w:r>
    </w:p>
    <w:p>
      <w:pPr>
        <w:spacing w:after="0" w:line="72" w:lineRule="exact"/>
        <w:rPr>
          <w:sz w:val="20"/>
          <w:szCs w:val="20"/>
          <w:color w:val="auto"/>
        </w:rPr>
      </w:pPr>
    </w:p>
    <w:p>
      <w:pPr>
        <w:ind w:left="1507" w:right="120" w:hanging="345"/>
        <w:spacing w:after="0" w:line="241" w:lineRule="auto"/>
        <w:tabs>
          <w:tab w:leader="none" w:pos="150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Engaging a service provider on behalf of Advisory Clients or the Firm in which you or your Related Person has a financial interest;</w:t>
      </w:r>
    </w:p>
    <w:p>
      <w:pPr>
        <w:spacing w:after="0" w:line="1" w:lineRule="exact"/>
        <w:rPr>
          <w:rFonts w:ascii="Times New Roman" w:cs="Times New Roman" w:eastAsia="Times New Roman" w:hAnsi="Times New Roman"/>
          <w:sz w:val="20"/>
          <w:szCs w:val="20"/>
          <w:color w:val="auto"/>
        </w:rPr>
      </w:pPr>
    </w:p>
    <w:p>
      <w:pPr>
        <w:ind w:left="1507" w:hanging="345"/>
        <w:spacing w:after="0" w:line="230" w:lineRule="auto"/>
        <w:tabs>
          <w:tab w:leader="none" w:pos="150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Accepting extravagant or frequent gifts or entertainment from a current or potential service provider to the Firm or OFS Fund;</w:t>
      </w:r>
    </w:p>
    <w:p>
      <w:pPr>
        <w:spacing w:after="0" w:line="1" w:lineRule="exact"/>
        <w:rPr>
          <w:rFonts w:ascii="Times New Roman" w:cs="Times New Roman" w:eastAsia="Times New Roman" w:hAnsi="Times New Roman"/>
          <w:sz w:val="20"/>
          <w:szCs w:val="20"/>
          <w:color w:val="auto"/>
        </w:rPr>
      </w:pPr>
    </w:p>
    <w:p>
      <w:pPr>
        <w:ind w:left="1507" w:right="120" w:hanging="345"/>
        <w:spacing w:after="0" w:line="230" w:lineRule="auto"/>
        <w:tabs>
          <w:tab w:leader="none" w:pos="150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Making charitable contributions at the request of a prospective Advisory Client when the Advisory Client will directly benefit from such contribution;</w:t>
      </w:r>
    </w:p>
    <w:p>
      <w:pPr>
        <w:spacing w:after="0" w:line="1" w:lineRule="exact"/>
        <w:rPr>
          <w:rFonts w:ascii="Times New Roman" w:cs="Times New Roman" w:eastAsia="Times New Roman" w:hAnsi="Times New Roman"/>
          <w:sz w:val="20"/>
          <w:szCs w:val="20"/>
          <w:color w:val="auto"/>
        </w:rPr>
      </w:pPr>
    </w:p>
    <w:p>
      <w:pPr>
        <w:jc w:val="both"/>
        <w:ind w:left="1507" w:right="100" w:hanging="345"/>
        <w:spacing w:after="0" w:line="230" w:lineRule="auto"/>
        <w:tabs>
          <w:tab w:leader="none" w:pos="150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Contributing to the election campaign of a government official or candidate who has, or will have if elected, the authority to appoint pension plan board members who are responsible for selecting investment advisers for such pension plan;</w:t>
      </w:r>
    </w:p>
    <w:p>
      <w:pPr>
        <w:spacing w:after="0" w:line="1" w:lineRule="exact"/>
        <w:rPr>
          <w:rFonts w:ascii="Times New Roman" w:cs="Times New Roman" w:eastAsia="Times New Roman" w:hAnsi="Times New Roman"/>
          <w:sz w:val="20"/>
          <w:szCs w:val="20"/>
          <w:color w:val="auto"/>
        </w:rPr>
      </w:pPr>
    </w:p>
    <w:p>
      <w:pPr>
        <w:jc w:val="both"/>
        <w:ind w:left="1507" w:right="100" w:hanging="345"/>
        <w:spacing w:after="0" w:line="235" w:lineRule="auto"/>
        <w:tabs>
          <w:tab w:leader="none" w:pos="150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Taking advantage of your position with the Firm or OFS Fund by using knowledge of the Firm’s actual or anticipated Advisory Client trades to benefit your own personal trading (e.g., frontrunning);</w:t>
      </w:r>
    </w:p>
    <w:p>
      <w:pPr>
        <w:spacing w:after="0" w:line="200" w:lineRule="exact"/>
        <w:rPr>
          <w:sz w:val="20"/>
          <w:szCs w:val="20"/>
          <w:color w:val="auto"/>
        </w:rPr>
      </w:pPr>
    </w:p>
    <w:p>
      <w:pPr>
        <w:spacing w:after="0" w:line="30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Page -4-</w:t>
      </w:r>
    </w:p>
    <w:p>
      <w:pPr>
        <w:spacing w:after="0" w:line="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803910</wp:posOffset>
            </wp:positionV>
            <wp:extent cx="71831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7"/>
          </w:cols>
          <w:pgMar w:left="893" w:top="1440" w:right="878" w:bottom="1440" w:gutter="0" w:footer="0" w:header="0"/>
        </w:sectPr>
      </w:pPr>
    </w:p>
    <w:bookmarkStart w:id="74" w:name="page75"/>
    <w:bookmarkEnd w:id="74"/>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15467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2">
                      <a:extLst>
                        <a:ext uri="{28A0092B-C50C-407E-A947-70E740481C1C}"/>
                      </a:extLst>
                    </a:blip>
                    <a:srcRect/>
                    <a:stretch>
                      <a:fillRect/>
                    </a:stretch>
                  </pic:blipFill>
                  <pic:spPr bwMode="auto">
                    <a:xfrm>
                      <a:off x="0" y="0"/>
                      <a:ext cx="7162165" cy="8154670"/>
                    </a:xfrm>
                    <a:prstGeom prst="rect">
                      <a:avLst/>
                    </a:prstGeom>
                    <a:noFill/>
                  </pic:spPr>
                </pic:pic>
              </a:graphicData>
            </a:graphic>
          </wp:anchor>
        </w:drawing>
      </w:r>
    </w:p>
    <w:p>
      <w:pPr>
        <w:ind w:left="1500" w:right="100" w:hanging="345"/>
        <w:spacing w:after="0" w:line="241" w:lineRule="auto"/>
        <w:tabs>
          <w:tab w:leader="none" w:pos="15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Knowingly purchasing an interest in a company or property that you know the Firm is targeting for investment; and</w:t>
      </w:r>
    </w:p>
    <w:p>
      <w:pPr>
        <w:spacing w:after="0" w:line="1" w:lineRule="exact"/>
        <w:rPr>
          <w:rFonts w:ascii="Times New Roman" w:cs="Times New Roman" w:eastAsia="Times New Roman" w:hAnsi="Times New Roman"/>
          <w:sz w:val="20"/>
          <w:szCs w:val="20"/>
          <w:color w:val="auto"/>
        </w:rPr>
      </w:pPr>
    </w:p>
    <w:p>
      <w:pPr>
        <w:ind w:left="1500" w:hanging="345"/>
        <w:spacing w:after="0"/>
        <w:tabs>
          <w:tab w:leader="none" w:pos="15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Assuming an outside position with a company that competes directly with the Firm.</w:t>
      </w:r>
    </w:p>
    <w:p>
      <w:pPr>
        <w:spacing w:after="0" w:line="3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above list of examples is not exhaustive, and you, as a Supervised Person or OFS Fund Director, are responsible for assessing the unique facts and circumstances of your activities for potential conflicts and consulting with OFS Adviser’s Legal and Compliance Departments </w:t>
      </w:r>
      <w:r>
        <w:rPr>
          <w:rFonts w:ascii="Times New Roman" w:cs="Times New Roman" w:eastAsia="Times New Roman" w:hAnsi="Times New Roman"/>
          <w:sz w:val="22"/>
          <w:szCs w:val="22"/>
          <w:b w:val="1"/>
          <w:bCs w:val="1"/>
          <w:color w:val="auto"/>
        </w:rPr>
        <w:t>prior to</w:t>
      </w:r>
      <w:r>
        <w:rPr>
          <w:rFonts w:ascii="Times New Roman" w:cs="Times New Roman" w:eastAsia="Times New Roman" w:hAnsi="Times New Roman"/>
          <w:sz w:val="22"/>
          <w:szCs w:val="22"/>
          <w:color w:val="auto"/>
        </w:rPr>
        <w:t xml:space="preserve"> engaging in such activities.</w:t>
      </w:r>
    </w:p>
    <w:p>
      <w:pPr>
        <w:spacing w:after="0" w:line="65" w:lineRule="exact"/>
        <w:rPr>
          <w:sz w:val="20"/>
          <w:szCs w:val="20"/>
          <w:color w:val="auto"/>
        </w:rPr>
      </w:pPr>
    </w:p>
    <w:p>
      <w:pPr>
        <w:jc w:val="both"/>
        <w:ind w:firstLine="692"/>
        <w:spacing w:after="0" w:line="235" w:lineRule="auto"/>
        <w:rPr>
          <w:sz w:val="20"/>
          <w:szCs w:val="20"/>
          <w:color w:val="auto"/>
        </w:rPr>
      </w:pPr>
      <w:r>
        <w:rPr>
          <w:rFonts w:ascii="Times New Roman" w:cs="Times New Roman" w:eastAsia="Times New Roman" w:hAnsi="Times New Roman"/>
          <w:sz w:val="22"/>
          <w:szCs w:val="22"/>
          <w:color w:val="auto"/>
        </w:rPr>
        <w:t>Each Supervised Person and OFS Fund Director must avoid circumstances or conduct that adversely affect or that appear to adversely affect OFS Adviser or its Advisory Clients, including the OFS Funds. Every Supervised Person and OFS Fund Director must comply with applicable federal securities laws and must promptly report suspected violations of the Code to a Compliance Officer. OFS Adviser strictly prohibits retaliation against any individual reporting suspected violations, who, in good faith, seeks help or reports known or suspected violations, including Supervised Persons who assist in making a report or who cooperate in an investigation (see Section I.E. Reporting and Sanctions).</w:t>
      </w:r>
    </w:p>
    <w:p>
      <w:pPr>
        <w:spacing w:after="0" w:line="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u w:val="single" w:color="auto"/>
          <w:color w:val="auto"/>
        </w:rPr>
        <w:t>GENERAL GUIDELINES</w:t>
      </w:r>
    </w:p>
    <w:p>
      <w:pPr>
        <w:spacing w:after="0" w:line="206" w:lineRule="exact"/>
        <w:rPr>
          <w:sz w:val="20"/>
          <w:szCs w:val="20"/>
          <w:color w:val="auto"/>
        </w:rPr>
      </w:pPr>
    </w:p>
    <w:p>
      <w:pPr>
        <w:jc w:val="both"/>
        <w:ind w:left="1360" w:hanging="676"/>
        <w:spacing w:after="0" w:line="235" w:lineRule="auto"/>
        <w:tabs>
          <w:tab w:leader="none" w:pos="136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Supervised Persons and OFS Directors may not employ any device, scheme or artifice to defraud an OFS Fund or any Advisory Client, make any untrue statement of a material fact to an OFS Fund or another Advisory Client, or omit to state a material fact necessary in order to make the statements not misleading, engage in any act, practice or course of business that operates or would operate as a fraud or deceit upon an OFS Fund or another Advisory Client, engage in any manipulative practice with respect to an OFS Fund or another Advisory Client, or engage in any manipulative practice with respect to Securities, including price manipulation.</w:t>
      </w:r>
    </w:p>
    <w:p>
      <w:pPr>
        <w:spacing w:after="0" w:line="223" w:lineRule="exact"/>
        <w:rPr>
          <w:rFonts w:ascii="Times New Roman" w:cs="Times New Roman" w:eastAsia="Times New Roman" w:hAnsi="Times New Roman"/>
          <w:sz w:val="22"/>
          <w:szCs w:val="22"/>
          <w:b w:val="1"/>
          <w:bCs w:val="1"/>
          <w:color w:val="auto"/>
        </w:rPr>
      </w:pPr>
    </w:p>
    <w:p>
      <w:pPr>
        <w:jc w:val="both"/>
        <w:ind w:left="1360" w:hanging="676"/>
        <w:spacing w:after="0" w:line="238" w:lineRule="auto"/>
        <w:tabs>
          <w:tab w:leader="none" w:pos="136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with the prior approval of a Compliance Officer, in consultation with a Supervised Person’s supervisor and/or Senior Management, a Supervised Person may not act as a director, officer, general partner, managing member, principal, proprietor, consultant, agent, representative, trustee or employee of any unaffiliated public or private entity or business other than an OFS Fund, OFS Adviser, or an Affiliate of OFS Adviser. (See Section IV)</w:t>
      </w:r>
    </w:p>
    <w:p>
      <w:pPr>
        <w:spacing w:after="0" w:line="176" w:lineRule="exact"/>
        <w:rPr>
          <w:rFonts w:ascii="Times New Roman" w:cs="Times New Roman" w:eastAsia="Times New Roman" w:hAnsi="Times New Roman"/>
          <w:sz w:val="22"/>
          <w:szCs w:val="22"/>
          <w:b w:val="1"/>
          <w:bCs w:val="1"/>
          <w:color w:val="auto"/>
        </w:rPr>
      </w:pPr>
    </w:p>
    <w:p>
      <w:pPr>
        <w:jc w:val="both"/>
        <w:ind w:left="1360" w:hanging="676"/>
        <w:spacing w:after="0" w:line="244" w:lineRule="auto"/>
        <w:tabs>
          <w:tab w:leader="none" w:pos="136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All Supervised Persons must disclose to OFS Adviser any interests they may have in any entity that is not affiliated with OFS Adviser or any OFS Fund </w:t>
      </w:r>
      <w:r>
        <w:rPr>
          <w:rFonts w:ascii="Times New Roman" w:cs="Times New Roman" w:eastAsia="Times New Roman" w:hAnsi="Times New Roman"/>
          <w:sz w:val="22"/>
          <w:szCs w:val="22"/>
          <w:i w:val="1"/>
          <w:iCs w:val="1"/>
          <w:color w:val="auto"/>
        </w:rPr>
        <w:t>and</w:t>
      </w:r>
      <w:r>
        <w:rPr>
          <w:rFonts w:ascii="Times New Roman" w:cs="Times New Roman" w:eastAsia="Times New Roman" w:hAnsi="Times New Roman"/>
          <w:sz w:val="22"/>
          <w:szCs w:val="22"/>
          <w:color w:val="auto"/>
        </w:rPr>
        <w:t xml:space="preserve"> that has a known business relationship with OFS Adviser, an Affiliate of OFS Adviser or any OFS Fund.</w:t>
      </w:r>
    </w:p>
    <w:p>
      <w:pPr>
        <w:spacing w:after="0" w:line="173" w:lineRule="exact"/>
        <w:rPr>
          <w:rFonts w:ascii="Times New Roman" w:cs="Times New Roman" w:eastAsia="Times New Roman" w:hAnsi="Times New Roman"/>
          <w:sz w:val="22"/>
          <w:szCs w:val="22"/>
          <w:b w:val="1"/>
          <w:bCs w:val="1"/>
          <w:color w:val="auto"/>
        </w:rPr>
      </w:pPr>
    </w:p>
    <w:p>
      <w:pPr>
        <w:ind w:left="1360" w:hanging="676"/>
        <w:spacing w:after="0" w:line="258" w:lineRule="auto"/>
        <w:tabs>
          <w:tab w:leader="none" w:pos="136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with the prior approval of a Compliance Officer, and as specifically permitted by law, Supervised Persons may not have a material direct or indirect interest (e.g., as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-5-</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803910</wp:posOffset>
            </wp:positionV>
            <wp:extent cx="71831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0"/>
          </w:cols>
          <w:pgMar w:left="900" w:top="1440" w:right="878" w:bottom="1440" w:gutter="0" w:footer="0" w:header="0"/>
        </w:sectPr>
      </w:pPr>
    </w:p>
    <w:bookmarkStart w:id="75" w:name="page76"/>
    <w:bookmarkEnd w:id="75"/>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6772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4">
                      <a:extLst>
                        <a:ext uri="{28A0092B-C50C-407E-A947-70E740481C1C}"/>
                      </a:extLst>
                    </a:blip>
                    <a:srcRect/>
                    <a:stretch>
                      <a:fillRect/>
                    </a:stretch>
                  </pic:blipFill>
                  <pic:spPr bwMode="auto">
                    <a:xfrm>
                      <a:off x="0" y="0"/>
                      <a:ext cx="7162165" cy="8677275"/>
                    </a:xfrm>
                    <a:prstGeom prst="rect">
                      <a:avLst/>
                    </a:prstGeom>
                    <a:noFill/>
                  </pic:spPr>
                </pic:pic>
              </a:graphicData>
            </a:graphic>
          </wp:anchor>
        </w:drawing>
      </w:r>
    </w:p>
    <w:p>
      <w:pPr>
        <w:ind w:left="1477"/>
        <w:spacing w:after="0" w:line="258" w:lineRule="auto"/>
        <w:rPr>
          <w:sz w:val="20"/>
          <w:szCs w:val="20"/>
          <w:color w:val="auto"/>
        </w:rPr>
      </w:pPr>
      <w:r>
        <w:rPr>
          <w:rFonts w:ascii="Times New Roman" w:cs="Times New Roman" w:eastAsia="Times New Roman" w:hAnsi="Times New Roman"/>
          <w:sz w:val="22"/>
          <w:szCs w:val="22"/>
          <w:color w:val="auto"/>
        </w:rPr>
        <w:t>principal, co-principal, agent, member, partner, or material shareholder or beneficiary) in any transaction that conflicts with the interests of OFS Adviser or its Advisory Clients.</w:t>
      </w:r>
    </w:p>
    <w:p>
      <w:pPr>
        <w:spacing w:after="0" w:line="158" w:lineRule="exact"/>
        <w:rPr>
          <w:sz w:val="20"/>
          <w:szCs w:val="20"/>
          <w:color w:val="auto"/>
        </w:rPr>
      </w:pPr>
    </w:p>
    <w:p>
      <w:pPr>
        <w:jc w:val="both"/>
        <w:ind w:left="1477" w:hanging="676"/>
        <w:spacing w:after="0" w:line="234" w:lineRule="auto"/>
        <w:tabs>
          <w:tab w:leader="none" w:pos="1477"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Access Persons and their Related Persons are required to preclear and obtain Compliance approval for Investments in the publicly traded Reportable Securities as listed in Section B.II.1., Initial Public Offerings (“IPO”), Initial Coin Offerings (“ICO”) or Private Placements</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22"/>
          <w:szCs w:val="22"/>
          <w:color w:val="auto"/>
        </w:rPr>
        <w:t xml:space="preserve"> (including hedge funds and other private investment vehicles). (See Section II.C.2) This requirement also applies to Private Placements that are Advisory Clients of OFS Adviser, such as Hancock Park Corporate Income, Inc and other Reportable Funds.</w:t>
      </w:r>
    </w:p>
    <w:p>
      <w:pPr>
        <w:spacing w:after="0" w:line="180" w:lineRule="exact"/>
        <w:rPr>
          <w:rFonts w:ascii="Times New Roman" w:cs="Times New Roman" w:eastAsia="Times New Roman" w:hAnsi="Times New Roman"/>
          <w:sz w:val="22"/>
          <w:szCs w:val="22"/>
          <w:b w:val="1"/>
          <w:bCs w:val="1"/>
          <w:color w:val="auto"/>
        </w:rPr>
      </w:pPr>
    </w:p>
    <w:p>
      <w:pPr>
        <w:ind w:left="1477" w:hanging="676"/>
        <w:spacing w:after="0" w:line="258" w:lineRule="auto"/>
        <w:tabs>
          <w:tab w:leader="none" w:pos="1477"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Supervised Persons are prohibited from trading in a Security in close proximity to an actual, planned or pending trade of such Security on behalf of an Advisory Client (i.e., front running).</w:t>
      </w:r>
    </w:p>
    <w:p>
      <w:pPr>
        <w:spacing w:after="0" w:line="158" w:lineRule="exact"/>
        <w:rPr>
          <w:rFonts w:ascii="Times New Roman" w:cs="Times New Roman" w:eastAsia="Times New Roman" w:hAnsi="Times New Roman"/>
          <w:sz w:val="22"/>
          <w:szCs w:val="22"/>
          <w:b w:val="1"/>
          <w:bCs w:val="1"/>
          <w:color w:val="auto"/>
        </w:rPr>
      </w:pPr>
    </w:p>
    <w:p>
      <w:pPr>
        <w:jc w:val="both"/>
        <w:ind w:left="1477" w:hanging="676"/>
        <w:spacing w:after="0" w:line="239" w:lineRule="auto"/>
        <w:tabs>
          <w:tab w:leader="none" w:pos="1477"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Supervised Person, except in the course of the rightful exercise of his or her job responsibilities, shall reveal to any other person, information regarding any Advisory Client or any investment or Security transaction being considered, recommended or executed on behalf of any Advisory Client. (See Section III)</w:t>
      </w:r>
    </w:p>
    <w:p>
      <w:pPr>
        <w:spacing w:after="0" w:line="180" w:lineRule="exact"/>
        <w:rPr>
          <w:rFonts w:ascii="Times New Roman" w:cs="Times New Roman" w:eastAsia="Times New Roman" w:hAnsi="Times New Roman"/>
          <w:sz w:val="22"/>
          <w:szCs w:val="22"/>
          <w:b w:val="1"/>
          <w:bCs w:val="1"/>
          <w:color w:val="auto"/>
        </w:rPr>
      </w:pPr>
    </w:p>
    <w:p>
      <w:pPr>
        <w:jc w:val="both"/>
        <w:ind w:left="1477" w:hanging="676"/>
        <w:spacing w:after="0" w:line="236" w:lineRule="auto"/>
        <w:tabs>
          <w:tab w:leader="none" w:pos="1477"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OFS Fund Director, except in the course of the rightful exercise of his or her board responsibilities, shall reveal to any other person information regarding any OFS Fund or any “Portfolio Company”, defined as any legal entity in which an OFS Fund or another Advisory Client holds an investment regardless of whether or not the investment is a Security, or any investment or Security transaction being considered, recommended, or executed on behalf of any other Advisory Client. (See Section III)</w:t>
      </w:r>
    </w:p>
    <w:p>
      <w:pPr>
        <w:spacing w:after="0" w:line="181" w:lineRule="exact"/>
        <w:rPr>
          <w:rFonts w:ascii="Times New Roman" w:cs="Times New Roman" w:eastAsia="Times New Roman" w:hAnsi="Times New Roman"/>
          <w:sz w:val="22"/>
          <w:szCs w:val="22"/>
          <w:b w:val="1"/>
          <w:bCs w:val="1"/>
          <w:color w:val="auto"/>
        </w:rPr>
      </w:pPr>
    </w:p>
    <w:p>
      <w:pPr>
        <w:jc w:val="both"/>
        <w:ind w:left="1477" w:hanging="676"/>
        <w:spacing w:after="0" w:line="244" w:lineRule="auto"/>
        <w:tabs>
          <w:tab w:leader="none" w:pos="1477"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Supervised Person, unless granted an exception by a Compliance Officer, shall make any recommendation concerning the purchase or sale of a Security by an Advisory Client in which the Firm or any Supervised Person holds an interest including without limitation:</w:t>
      </w:r>
    </w:p>
    <w:p>
      <w:pPr>
        <w:spacing w:after="0" w:line="65" w:lineRule="exact"/>
        <w:rPr>
          <w:rFonts w:ascii="Times New Roman" w:cs="Times New Roman" w:eastAsia="Times New Roman" w:hAnsi="Times New Roman"/>
          <w:sz w:val="22"/>
          <w:szCs w:val="22"/>
          <w:b w:val="1"/>
          <w:bCs w:val="1"/>
          <w:color w:val="auto"/>
        </w:rPr>
      </w:pPr>
    </w:p>
    <w:p>
      <w:pPr>
        <w:ind w:left="2297" w:hanging="679"/>
        <w:spacing w:after="0" w:line="241" w:lineRule="auto"/>
        <w:tabs>
          <w:tab w:leader="none" w:pos="2297"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 or indirect ownership interest of 5% or greater in such Security or the issuer thereof.</w:t>
      </w:r>
    </w:p>
    <w:p>
      <w:pPr>
        <w:spacing w:after="0" w:line="1" w:lineRule="exact"/>
        <w:rPr>
          <w:rFonts w:ascii="Times New Roman" w:cs="Times New Roman" w:eastAsia="Times New Roman" w:hAnsi="Times New Roman"/>
          <w:sz w:val="22"/>
          <w:szCs w:val="22"/>
          <w:color w:val="auto"/>
        </w:rPr>
      </w:pPr>
    </w:p>
    <w:p>
      <w:pPr>
        <w:ind w:left="2317" w:hanging="699"/>
        <w:spacing w:after="0" w:line="230" w:lineRule="auto"/>
        <w:tabs>
          <w:tab w:leader="none" w:pos="2317"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contemplated transaction by such person in such Investment.</w:t>
      </w:r>
    </w:p>
    <w:p>
      <w:pPr>
        <w:ind w:left="2317" w:hanging="699"/>
        <w:spacing w:after="0"/>
        <w:tabs>
          <w:tab w:leader="none" w:pos="2317"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present or proposed relationship with respect to such Investment.</w:t>
      </w:r>
    </w:p>
    <w:p>
      <w:pPr>
        <w:spacing w:after="0" w:line="74" w:lineRule="exact"/>
        <w:rPr>
          <w:rFonts w:ascii="Times New Roman" w:cs="Times New Roman" w:eastAsia="Times New Roman" w:hAnsi="Times New Roman"/>
          <w:sz w:val="22"/>
          <w:szCs w:val="22"/>
          <w:color w:val="auto"/>
        </w:rPr>
      </w:pPr>
    </w:p>
    <w:p>
      <w:pPr>
        <w:jc w:val="both"/>
        <w:ind w:left="1477" w:hanging="676"/>
        <w:spacing w:after="0" w:line="239" w:lineRule="auto"/>
        <w:tabs>
          <w:tab w:leader="none" w:pos="1477"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certain exceptions permitted by applicable law and the prior approval of the Compliance Department, no Advisory Client may, directly or indirectly extend, maintain or arrange for the extension of credit or the renewal of an extension of credit, in the form of a personal loan to any officer or director of the Fund. Any Supervised Person or person</w:t>
      </w:r>
    </w:p>
    <w:p>
      <w:pPr>
        <w:spacing w:after="0" w:line="263" w:lineRule="exact"/>
        <w:rPr>
          <w:sz w:val="20"/>
          <w:szCs w:val="20"/>
          <w:color w:val="auto"/>
        </w:rPr>
      </w:pPr>
    </w:p>
    <w:p>
      <w:pPr>
        <w:ind w:left="-3" w:right="280" w:firstLine="3"/>
        <w:spacing w:after="0" w:line="227" w:lineRule="auto"/>
        <w:tabs>
          <w:tab w:leader="none" w:pos="102" w:val="left"/>
        </w:tabs>
        <w:numPr>
          <w:ilvl w:val="0"/>
          <w:numId w:val="4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Private Placement is defined as an offering that is exempt from registration under the Securities Act of 1933, as amended (the “Securities Act”), pursuant to section 4(2) or section 4(5) or pursuant to rule 504, rule 505 or rule 506 thereunder.</w:t>
      </w:r>
    </w:p>
    <w:p>
      <w:pPr>
        <w:spacing w:after="0" w:line="298" w:lineRule="exact"/>
        <w:rPr>
          <w:sz w:val="20"/>
          <w:szCs w:val="20"/>
          <w:color w:val="auto"/>
        </w:rPr>
      </w:pPr>
    </w:p>
    <w:p>
      <w:pPr>
        <w:jc w:val="center"/>
        <w:ind w:right="-116"/>
        <w:spacing w:after="0"/>
        <w:rPr>
          <w:sz w:val="20"/>
          <w:szCs w:val="20"/>
          <w:color w:val="auto"/>
        </w:rPr>
      </w:pPr>
      <w:r>
        <w:rPr>
          <w:rFonts w:ascii="Times New Roman" w:cs="Times New Roman" w:eastAsia="Times New Roman" w:hAnsi="Times New Roman"/>
          <w:sz w:val="22"/>
          <w:szCs w:val="22"/>
          <w:color w:val="auto"/>
        </w:rPr>
        <w:t>Page -6-</w:t>
      </w:r>
    </w:p>
    <w:p>
      <w:pPr>
        <w:spacing w:after="0" w:line="44" w:lineRule="exact"/>
        <w:rPr>
          <w:sz w:val="20"/>
          <w:szCs w:val="20"/>
          <w:color w:val="auto"/>
        </w:rPr>
      </w:pPr>
    </w:p>
    <w:p>
      <w:pPr>
        <w:jc w:val="center"/>
        <w:ind w:right="-116"/>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116"/>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803910</wp:posOffset>
            </wp:positionV>
            <wp:extent cx="71831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257"/>
          </w:cols>
          <w:pgMar w:left="783" w:top="1440" w:right="878" w:bottom="1440" w:gutter="0" w:footer="0" w:header="0"/>
        </w:sectPr>
      </w:pPr>
    </w:p>
    <w:bookmarkStart w:id="76" w:name="page77"/>
    <w:bookmarkEnd w:id="76"/>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2829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6">
                      <a:extLst>
                        <a:ext uri="{28A0092B-C50C-407E-A947-70E740481C1C}"/>
                      </a:extLst>
                    </a:blip>
                    <a:srcRect/>
                    <a:stretch>
                      <a:fillRect/>
                    </a:stretch>
                  </pic:blipFill>
                  <pic:spPr bwMode="auto">
                    <a:xfrm>
                      <a:off x="0" y="0"/>
                      <a:ext cx="7162165" cy="8282940"/>
                    </a:xfrm>
                    <a:prstGeom prst="rect">
                      <a:avLst/>
                    </a:prstGeom>
                    <a:noFill/>
                  </pic:spPr>
                </pic:pic>
              </a:graphicData>
            </a:graphic>
          </wp:anchor>
        </w:drawing>
      </w:r>
    </w:p>
    <w:p>
      <w:pPr>
        <w:jc w:val="both"/>
        <w:ind w:left="820"/>
        <w:spacing w:after="0" w:line="238" w:lineRule="auto"/>
        <w:rPr>
          <w:sz w:val="20"/>
          <w:szCs w:val="20"/>
          <w:color w:val="auto"/>
        </w:rPr>
      </w:pPr>
      <w:r>
        <w:rPr>
          <w:rFonts w:ascii="Times New Roman" w:cs="Times New Roman" w:eastAsia="Times New Roman" w:hAnsi="Times New Roman"/>
          <w:sz w:val="22"/>
          <w:szCs w:val="22"/>
          <w:color w:val="auto"/>
        </w:rPr>
        <w:t>serving as a director on the board of directors of any OFS Fund (“OFS Fund Director”), who becomes aware that their respective OFS Fund may be extending or arranging for the extension of credit to a director or officer, or person serving an equivalent function, should notify and consult with the Compliance Department to ensure that the proposed extension of credit complies with this Code and the applicable law.</w:t>
      </w:r>
    </w:p>
    <w:p>
      <w:pPr>
        <w:spacing w:after="0" w:line="177" w:lineRule="exact"/>
        <w:rPr>
          <w:sz w:val="20"/>
          <w:szCs w:val="20"/>
          <w:color w:val="auto"/>
        </w:rPr>
      </w:pPr>
    </w:p>
    <w:p>
      <w:pPr>
        <w:jc w:val="both"/>
        <w:ind w:left="840"/>
        <w:spacing w:after="0" w:line="258" w:lineRule="auto"/>
        <w:rPr>
          <w:sz w:val="20"/>
          <w:szCs w:val="20"/>
          <w:color w:val="auto"/>
        </w:rPr>
      </w:pPr>
      <w:r>
        <w:rPr>
          <w:rFonts w:ascii="Times New Roman" w:cs="Times New Roman" w:eastAsia="Times New Roman" w:hAnsi="Times New Roman"/>
          <w:sz w:val="22"/>
          <w:szCs w:val="22"/>
          <w:color w:val="auto"/>
        </w:rPr>
        <w:t>Supervised Persons must not act (e.g., trade, tip or place bets) while in possession of material non-public information (“MNPI”) (as described in the “Inside Information Policy” in Section III),</w:t>
      </w:r>
    </w:p>
    <w:p>
      <w:pPr>
        <w:spacing w:after="0" w:line="158" w:lineRule="exact"/>
        <w:rPr>
          <w:sz w:val="20"/>
          <w:szCs w:val="20"/>
          <w:color w:val="auto"/>
        </w:rPr>
      </w:pPr>
    </w:p>
    <w:p>
      <w:pPr>
        <w:jc w:val="both"/>
        <w:ind w:left="820" w:hanging="676"/>
        <w:spacing w:after="0" w:line="233" w:lineRule="auto"/>
        <w:tabs>
          <w:tab w:leader="none" w:pos="82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Supervised Person may communicate MNPI concerning any Security, or its issuer, or Portfolio Company to anyone unless it is properly within his or her duties to do so. No OFS Fund Director may communicate MNPI to anyone, unless it is properly within their duties to do so, concerning any Security of an issuer in which the OFS Fund Director knows, or should have known, in the course of his or her duties as a director, that the OFS Fund has a current investment, or with respect to which an investment or Security is Being Considered for Purchase or Sale by any OFS Fund (“OFS Fund Portfolio Security”) or Portfolio Company of their respective OFS Fund to anyone unless it is properly within his or her duties to do so. A Security is “Being Considered for Purchase or Sale” when a recommendation to purchase or sell the Security has been made and communicated and, with respect to the person making the recommendation, when such person seriously considers making such a recommendation. In all cases, a Security which has been recommended for purchase or sale pursuant to an Investment Committee memorandum, presentation, due diligence package or other formal Investment Committee recommendation shall be deemed to be a Security Being Considered for Purchase or Sale.</w:t>
      </w:r>
    </w:p>
    <w:p>
      <w:pPr>
        <w:spacing w:after="0" w:line="179" w:lineRule="exact"/>
        <w:rPr>
          <w:rFonts w:ascii="Times New Roman" w:cs="Times New Roman" w:eastAsia="Times New Roman" w:hAnsi="Times New Roman"/>
          <w:sz w:val="22"/>
          <w:szCs w:val="22"/>
          <w:b w:val="1"/>
          <w:bCs w:val="1"/>
          <w:color w:val="auto"/>
        </w:rPr>
      </w:pPr>
    </w:p>
    <w:p>
      <w:pPr>
        <w:jc w:val="both"/>
        <w:ind w:left="820" w:hanging="676"/>
        <w:spacing w:after="0" w:line="235" w:lineRule="auto"/>
        <w:tabs>
          <w:tab w:leader="none" w:pos="82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Supervised Person shall complete a compliance questionnaire (the “Regulatory Compliance Disclosure”) prior to employment and/or becoming a Supervised Person and annually thereafter, within the prescribed deadline, as provided by the Compliance Department, (“Compliance Due Date”) through the Firm’s compliance portal. Each Supervised Person shall supplement the Regulatory Compliance Disclosure, as necessary, to reflect any material changes between annual disclosures filings, and must immediately notify Compliance Department if any of the conditions addressed in the Regulatory Compliance Disclosure become applicable to such Supervised Person.</w:t>
      </w:r>
    </w:p>
    <w:p>
      <w:pPr>
        <w:spacing w:after="0" w:line="183" w:lineRule="exact"/>
        <w:rPr>
          <w:rFonts w:ascii="Times New Roman" w:cs="Times New Roman" w:eastAsia="Times New Roman" w:hAnsi="Times New Roman"/>
          <w:sz w:val="22"/>
          <w:szCs w:val="22"/>
          <w:b w:val="1"/>
          <w:bCs w:val="1"/>
          <w:color w:val="auto"/>
        </w:rPr>
      </w:pPr>
    </w:p>
    <w:p>
      <w:pPr>
        <w:ind w:left="820" w:hanging="676"/>
        <w:spacing w:after="0" w:line="258" w:lineRule="auto"/>
        <w:tabs>
          <w:tab w:leader="none" w:pos="82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Every Supervised Person must avoid any activity that might give rise to a question as to whether the Firm’s objectivity as a fiduciary has been compromised (See Section V).</w:t>
      </w:r>
    </w:p>
    <w:p>
      <w:pPr>
        <w:spacing w:after="0" w:line="158" w:lineRule="exact"/>
        <w:rPr>
          <w:rFonts w:ascii="Times New Roman" w:cs="Times New Roman" w:eastAsia="Times New Roman" w:hAnsi="Times New Roman"/>
          <w:sz w:val="22"/>
          <w:szCs w:val="22"/>
          <w:b w:val="1"/>
          <w:bCs w:val="1"/>
          <w:color w:val="auto"/>
        </w:rPr>
      </w:pPr>
    </w:p>
    <w:p>
      <w:pPr>
        <w:jc w:val="both"/>
        <w:ind w:left="820" w:hanging="676"/>
        <w:spacing w:after="0" w:line="244" w:lineRule="auto"/>
        <w:tabs>
          <w:tab w:leader="none" w:pos="82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Access Persons are required to disclose to a Compliance Officer the existence of any account that has the ability to hold any Reportable Securities (e.g., brokerage or trading accounts and IRAs), as well the account’s holdings (immediately upon commencement</w:t>
      </w:r>
    </w:p>
    <w:p>
      <w:pPr>
        <w:spacing w:after="0" w:line="28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2"/>
          <w:szCs w:val="22"/>
          <w:color w:val="auto"/>
        </w:rPr>
        <w:t>Page -7-</w:t>
      </w:r>
    </w:p>
    <w:p>
      <w:pPr>
        <w:spacing w:after="0" w:line="4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803910</wp:posOffset>
            </wp:positionV>
            <wp:extent cx="71831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9600"/>
          </w:cols>
          <w:pgMar w:left="1440" w:top="1440" w:right="878" w:bottom="1440" w:gutter="0" w:footer="0" w:header="0"/>
        </w:sectPr>
      </w:pPr>
    </w:p>
    <w:bookmarkStart w:id="77" w:name="page78"/>
    <w:bookmarkEnd w:id="77"/>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789749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8">
                      <a:extLst>
                        <a:ext uri="{28A0092B-C50C-407E-A947-70E740481C1C}"/>
                      </a:extLst>
                    </a:blip>
                    <a:srcRect/>
                    <a:stretch>
                      <a:fillRect/>
                    </a:stretch>
                  </pic:blipFill>
                  <pic:spPr bwMode="auto">
                    <a:xfrm>
                      <a:off x="0" y="0"/>
                      <a:ext cx="7162165" cy="7897495"/>
                    </a:xfrm>
                    <a:prstGeom prst="rect">
                      <a:avLst/>
                    </a:prstGeom>
                    <a:noFill/>
                  </pic:spPr>
                </pic:pic>
              </a:graphicData>
            </a:graphic>
          </wp:anchor>
        </w:drawing>
      </w:r>
    </w:p>
    <w:p>
      <w:pPr>
        <w:jc w:val="both"/>
        <w:ind w:left="1367"/>
        <w:spacing w:after="0" w:line="245" w:lineRule="auto"/>
        <w:rPr>
          <w:sz w:val="20"/>
          <w:szCs w:val="20"/>
          <w:color w:val="auto"/>
        </w:rPr>
      </w:pPr>
      <w:r>
        <w:rPr>
          <w:rFonts w:ascii="Times New Roman" w:cs="Times New Roman" w:eastAsia="Times New Roman" w:hAnsi="Times New Roman"/>
          <w:sz w:val="21"/>
          <w:szCs w:val="21"/>
          <w:color w:val="auto"/>
        </w:rPr>
        <w:t>of employment (which shall include the accounts and holdings of the Access Person’s Related Persons), and in no case later than ten (10) calendar days beyond the Access Person’s start date. Such Accounts must be disclosed even if they contain a zero balance or non-Reportable Securities. Access Persons are required to disclose accounts that are Managed Accounts; however, disclosing the holdings of such Managed Accounts is not required. With limited exceptions provided herein, Access Persons are also required to maintain Non-Managed Accounts capable of holding Reportable Securities with Approved Brokers, which have contracted to provide holdings and transaction reporting to the Compliance Department on the Firm’s compliance portal. Access Persons must confirm the accuracy and completeness of the information so provided to the Firm on a quarterly and annual basis by the Compliance Due Date. Initial and quarterly reports must disclose the existence of all accounts, even if none of those accounts at the time hold a Reportable Security. (See Section II).</w:t>
      </w:r>
    </w:p>
    <w:p>
      <w:pPr>
        <w:spacing w:after="0" w:line="177" w:lineRule="exact"/>
        <w:rPr>
          <w:sz w:val="20"/>
          <w:szCs w:val="20"/>
          <w:color w:val="auto"/>
        </w:rPr>
      </w:pPr>
    </w:p>
    <w:p>
      <w:pPr>
        <w:jc w:val="both"/>
        <w:ind w:left="1367" w:hanging="676"/>
        <w:spacing w:after="0" w:line="235" w:lineRule="auto"/>
        <w:tabs>
          <w:tab w:leader="none" w:pos="1367" w:val="left"/>
        </w:tabs>
        <w:numPr>
          <w:ilvl w:val="1"/>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intentional creation, transmission or use of false rumors is inconsistent with the Firm’s commitment to high ethical standards and may violate the antifraud provisions of the Advisers Act, among other securities laws of the United States. Accordingly, no Supervised Person may maliciously create, disseminate or use false rumors. This prohibition covers oral and written communications, including the use of electronic communication media such as e-mail, PIN messages, instant messages, tweets, text messages, blogs, and chat rooms. Because of the difficulty identifying “false” rumors, the Firm discourages Supervised Persons from creating, passing, or using any rumor.</w:t>
      </w:r>
    </w:p>
    <w:p>
      <w:pPr>
        <w:spacing w:after="0" w:line="200" w:lineRule="exact"/>
        <w:rPr>
          <w:rFonts w:ascii="Times New Roman" w:cs="Times New Roman" w:eastAsia="Times New Roman" w:hAnsi="Times New Roman"/>
          <w:sz w:val="22"/>
          <w:szCs w:val="22"/>
          <w:b w:val="1"/>
          <w:bCs w:val="1"/>
          <w:color w:val="auto"/>
        </w:rPr>
      </w:pPr>
    </w:p>
    <w:p>
      <w:pPr>
        <w:spacing w:after="0" w:line="203" w:lineRule="exact"/>
        <w:rPr>
          <w:rFonts w:ascii="Times New Roman" w:cs="Times New Roman" w:eastAsia="Times New Roman" w:hAnsi="Times New Roman"/>
          <w:sz w:val="22"/>
          <w:szCs w:val="22"/>
          <w:b w:val="1"/>
          <w:bCs w:val="1"/>
          <w:color w:val="auto"/>
        </w:rPr>
      </w:pPr>
    </w:p>
    <w:p>
      <w:pPr>
        <w:ind w:left="687" w:hanging="687"/>
        <w:spacing w:after="0"/>
        <w:tabs>
          <w:tab w:leader="none" w:pos="687"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PERIODIC COMPLIANCE REPORTING AND TRAININ</w:t>
      </w:r>
      <w:r>
        <w:rPr>
          <w:rFonts w:ascii="Times New Roman" w:cs="Times New Roman" w:eastAsia="Times New Roman" w:hAnsi="Times New Roman"/>
          <w:sz w:val="19"/>
          <w:szCs w:val="19"/>
          <w:color w:val="auto"/>
        </w:rPr>
        <w:t>G</w:t>
      </w:r>
    </w:p>
    <w:p>
      <w:pPr>
        <w:spacing w:after="0" w:line="210" w:lineRule="exact"/>
        <w:rPr>
          <w:rFonts w:ascii="Times New Roman" w:cs="Times New Roman" w:eastAsia="Times New Roman" w:hAnsi="Times New Roman"/>
          <w:sz w:val="22"/>
          <w:szCs w:val="22"/>
          <w:b w:val="1"/>
          <w:bCs w:val="1"/>
          <w:color w:val="auto"/>
        </w:rPr>
      </w:pPr>
    </w:p>
    <w:p>
      <w:pPr>
        <w:ind w:left="687"/>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Supervised Person is required to complete all assigned compliance certifications, disclosures and</w:t>
      </w:r>
    </w:p>
    <w:p>
      <w:pPr>
        <w:spacing w:after="0" w:line="14" w:lineRule="exact"/>
        <w:rPr>
          <w:sz w:val="20"/>
          <w:szCs w:val="20"/>
          <w:color w:val="auto"/>
        </w:rPr>
      </w:pPr>
    </w:p>
    <w:p>
      <w:pPr>
        <w:jc w:val="both"/>
        <w:ind w:left="7"/>
        <w:spacing w:after="0" w:line="235" w:lineRule="auto"/>
        <w:rPr>
          <w:sz w:val="20"/>
          <w:szCs w:val="20"/>
          <w:color w:val="auto"/>
        </w:rPr>
      </w:pPr>
      <w:r>
        <w:rPr>
          <w:rFonts w:ascii="Times New Roman" w:cs="Times New Roman" w:eastAsia="Times New Roman" w:hAnsi="Times New Roman"/>
          <w:sz w:val="22"/>
          <w:szCs w:val="22"/>
          <w:color w:val="auto"/>
        </w:rPr>
        <w:t>trainings by the Compliance Due Date. Absent an exemption granted to you by a Compliance Officer, failure to complete such items by the Compliance Due Date will likely constitute a violation of this Code and may result in the imposition of sanctions.</w:t>
      </w:r>
    </w:p>
    <w:p>
      <w:pPr>
        <w:spacing w:after="0" w:line="70" w:lineRule="exact"/>
        <w:rPr>
          <w:sz w:val="20"/>
          <w:szCs w:val="20"/>
          <w:color w:val="auto"/>
        </w:rPr>
      </w:pPr>
    </w:p>
    <w:p>
      <w:pPr>
        <w:jc w:val="both"/>
        <w:ind w:left="7" w:firstLine="692"/>
        <w:spacing w:after="0" w:line="236" w:lineRule="auto"/>
        <w:rPr>
          <w:sz w:val="20"/>
          <w:szCs w:val="20"/>
          <w:color w:val="auto"/>
        </w:rPr>
      </w:pPr>
      <w:r>
        <w:rPr>
          <w:rFonts w:ascii="Times New Roman" w:cs="Times New Roman" w:eastAsia="Times New Roman" w:hAnsi="Times New Roman"/>
          <w:sz w:val="22"/>
          <w:szCs w:val="22"/>
          <w:color w:val="auto"/>
        </w:rPr>
        <w:t>The Compliance Department also presents and/or coordinates mandatory training on this Code at least biennially and may assign mandatory or voluntary training on the Code or other Firm policies at such other times as the Compliance Department deems appropriate. Failure to attend or complete mandatory training sessions, unless excused in writing by a Compliance Officer, will likely constitute a violation of this Code and may lead to the imposition of sanctions. The Compliance Department maintains an attendance or completion list, as appropriate, of all Supervised Persons assigned to such training sessions.</w:t>
      </w:r>
    </w:p>
    <w:p>
      <w:pPr>
        <w:spacing w:after="0" w:line="39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Page -8-</w:t>
      </w:r>
    </w:p>
    <w:p>
      <w:pPr>
        <w:spacing w:after="0" w:line="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803910</wp:posOffset>
            </wp:positionV>
            <wp:extent cx="71831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7"/>
          </w:cols>
          <w:pgMar w:left="893" w:top="1440" w:right="878" w:bottom="1440" w:gutter="0" w:footer="0" w:header="0"/>
        </w:sectPr>
      </w:pPr>
    </w:p>
    <w:bookmarkStart w:id="78" w:name="page79"/>
    <w:bookmarkEnd w:id="78"/>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799147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0">
                      <a:extLst>
                        <a:ext uri="{28A0092B-C50C-407E-A947-70E740481C1C}"/>
                      </a:extLst>
                    </a:blip>
                    <a:srcRect/>
                    <a:stretch>
                      <a:fillRect/>
                    </a:stretch>
                  </pic:blipFill>
                  <pic:spPr bwMode="auto">
                    <a:xfrm>
                      <a:off x="0" y="0"/>
                      <a:ext cx="7162165" cy="7991475"/>
                    </a:xfrm>
                    <a:prstGeom prst="rect">
                      <a:avLst/>
                    </a:prstGeom>
                    <a:noFill/>
                  </pic:spPr>
                </pic:pic>
              </a:graphicData>
            </a:graphic>
          </wp:anchor>
        </w:drawing>
      </w:r>
    </w:p>
    <w:p>
      <w:pPr>
        <w:ind w:left="687" w:hanging="687"/>
        <w:spacing w:after="0"/>
        <w:tabs>
          <w:tab w:leader="none" w:pos="687"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ACKNOWLEDGMENT</w:t>
      </w:r>
    </w:p>
    <w:p>
      <w:pPr>
        <w:spacing w:after="0" w:line="210" w:lineRule="exact"/>
        <w:rPr>
          <w:sz w:val="20"/>
          <w:szCs w:val="20"/>
          <w:color w:val="auto"/>
        </w:rPr>
      </w:pPr>
    </w:p>
    <w:p>
      <w:pPr>
        <w:jc w:val="both"/>
        <w:ind w:left="7" w:firstLine="692"/>
        <w:spacing w:after="0" w:line="239" w:lineRule="auto"/>
        <w:rPr>
          <w:sz w:val="20"/>
          <w:szCs w:val="20"/>
          <w:color w:val="auto"/>
        </w:rPr>
      </w:pPr>
      <w:r>
        <w:rPr>
          <w:rFonts w:ascii="Times New Roman" w:cs="Times New Roman" w:eastAsia="Times New Roman" w:hAnsi="Times New Roman"/>
          <w:sz w:val="22"/>
          <w:szCs w:val="22"/>
          <w:color w:val="auto"/>
        </w:rPr>
        <w:t>Each Supervised Person must certify upon commencement of employment, at least annually thereafter, and at such other times as a Compliance Officer may determine, that he or she has read, understands, is subject to and has complied with the Code. Any Supervised Person who has any questions about the applicability of the Code to a particular situation should promptly consult with a Compliance Officer.</w:t>
      </w:r>
    </w:p>
    <w:p>
      <w:pPr>
        <w:spacing w:after="0" w:line="176" w:lineRule="exact"/>
        <w:rPr>
          <w:sz w:val="20"/>
          <w:szCs w:val="20"/>
          <w:color w:val="auto"/>
        </w:rPr>
      </w:pPr>
    </w:p>
    <w:p>
      <w:pPr>
        <w:ind w:left="687" w:hanging="687"/>
        <w:spacing w:after="0"/>
        <w:tabs>
          <w:tab w:leader="none" w:pos="687"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REPORTING AND SANCTIONS</w:t>
      </w:r>
    </w:p>
    <w:p>
      <w:pPr>
        <w:spacing w:after="0" w:line="210" w:lineRule="exact"/>
        <w:rPr>
          <w:sz w:val="20"/>
          <w:szCs w:val="20"/>
          <w:color w:val="auto"/>
        </w:rPr>
      </w:pPr>
    </w:p>
    <w:p>
      <w:pPr>
        <w:jc w:val="both"/>
        <w:ind w:left="7" w:firstLine="692"/>
        <w:spacing w:after="0" w:line="235" w:lineRule="auto"/>
        <w:rPr>
          <w:sz w:val="20"/>
          <w:szCs w:val="20"/>
          <w:color w:val="auto"/>
        </w:rPr>
      </w:pPr>
      <w:r>
        <w:rPr>
          <w:rFonts w:ascii="Times New Roman" w:cs="Times New Roman" w:eastAsia="Times New Roman" w:hAnsi="Times New Roman"/>
          <w:sz w:val="22"/>
          <w:szCs w:val="22"/>
          <w:color w:val="auto"/>
        </w:rPr>
        <w:t>While compliance with the provisions of the Code is anticipated, Supervised Persons should be aware that, in response to any violations, the Firm (or any OFS Fund, as applicable) shall take any action deemed necessary under the circumstances including, but without limitation, the imposition of appropriate sanctions. These sanctions may include, among others, verbal or written warnings, the reversal of trades, reallocation of trades to client accounts, disgorgement of profits, suspension or termination of personal trading or investment privileges, reduction in bonus or bonus opportunity, payment of a monetary fine payable to a recognized charitable organization of the Supervised Person’s choice or, in more serious cases, suspension or termination of employment and/or the making of any civil or criminal referral to the appropriate governmental authorities.</w:t>
      </w:r>
    </w:p>
    <w:p>
      <w:pPr>
        <w:spacing w:after="0" w:line="70" w:lineRule="exact"/>
        <w:rPr>
          <w:sz w:val="20"/>
          <w:szCs w:val="20"/>
          <w:color w:val="auto"/>
        </w:rPr>
      </w:pPr>
    </w:p>
    <w:p>
      <w:pPr>
        <w:jc w:val="both"/>
        <w:ind w:left="7" w:firstLine="692"/>
        <w:spacing w:after="0" w:line="234" w:lineRule="auto"/>
        <w:rPr>
          <w:sz w:val="20"/>
          <w:szCs w:val="20"/>
          <w:color w:val="auto"/>
        </w:rPr>
      </w:pPr>
      <w:r>
        <w:rPr>
          <w:rFonts w:ascii="Times New Roman" w:cs="Times New Roman" w:eastAsia="Times New Roman" w:hAnsi="Times New Roman"/>
          <w:sz w:val="22"/>
          <w:szCs w:val="22"/>
          <w:color w:val="auto"/>
        </w:rPr>
        <w:t>Moreover, Supervised Persons are required to promptly report any violation(s) of this Code, any other compliance policies adopted by OFS Adviser or the Rule 38a-1 Manual adopted by any OFS Fund (collectively “Compliance Policies”), or any activity that may adversely affect the Firm’s or any OFS Fund’s business or reputation, to a Compliance Officer. The Compliance Department shall maintain a record of all violations of the Code or other Compliance Policies and any corrective actions taken. Violations that are likely to result in criminal, civil and/or regulatory liability and/or financial or reputational harm to the Firm, its Advisory Clients and/or investments are considered “material” violations. Supervised Persons are encouraged to report any concerns or problem to their supervisor, however, OFS Adviser has also established a third-party confidential hotline that enables employees to report any incident on a confidential and anonymous basis.</w:t>
      </w:r>
    </w:p>
    <w:p>
      <w:pPr>
        <w:spacing w:after="0" w:line="75" w:lineRule="exact"/>
        <w:rPr>
          <w:sz w:val="20"/>
          <w:szCs w:val="20"/>
          <w:color w:val="auto"/>
        </w:rPr>
      </w:pPr>
    </w:p>
    <w:p>
      <w:pPr>
        <w:jc w:val="both"/>
        <w:ind w:left="7" w:firstLine="692"/>
        <w:spacing w:after="0" w:line="238" w:lineRule="auto"/>
        <w:rPr>
          <w:sz w:val="20"/>
          <w:szCs w:val="20"/>
          <w:color w:val="auto"/>
        </w:rPr>
      </w:pPr>
      <w:r>
        <w:rPr>
          <w:rFonts w:ascii="Times New Roman" w:cs="Times New Roman" w:eastAsia="Times New Roman" w:hAnsi="Times New Roman"/>
          <w:sz w:val="22"/>
          <w:szCs w:val="22"/>
          <w:color w:val="auto"/>
        </w:rPr>
        <w:t xml:space="preserve">Reporting should be made through a letter to a Compliance Officer or via the telephonic and electronic reporting procedures detailed in the Firm’s “Whistleblower Hotline Information” attached hereto as </w:t>
      </w:r>
      <w:r>
        <w:rPr>
          <w:rFonts w:ascii="Times New Roman" w:cs="Times New Roman" w:eastAsia="Times New Roman" w:hAnsi="Times New Roman"/>
          <w:sz w:val="22"/>
          <w:szCs w:val="22"/>
          <w:b w:val="1"/>
          <w:bCs w:val="1"/>
          <w:i w:val="1"/>
          <w:iCs w:val="1"/>
          <w:color w:val="auto"/>
        </w:rPr>
        <w:t>Attachment A</w:t>
      </w:r>
      <w:r>
        <w:rPr>
          <w:rFonts w:ascii="Times New Roman" w:cs="Times New Roman" w:eastAsia="Times New Roman" w:hAnsi="Times New Roman"/>
          <w:sz w:val="22"/>
          <w:szCs w:val="22"/>
          <w:color w:val="auto"/>
        </w:rPr>
        <w:t>. Further, all activities reported by Supervised Persons will be treated anonymously and confidentially (to the extent reasonably practicable) in order to encourage Supervised Persons to come forward with perceived problems. The Firm and each OFS Fund are committed to a full, unbiased review of any matter(s) raised.</w:t>
      </w:r>
    </w:p>
    <w:p>
      <w:pPr>
        <w:spacing w:after="0" w:line="69" w:lineRule="exact"/>
        <w:rPr>
          <w:sz w:val="20"/>
          <w:szCs w:val="20"/>
          <w:color w:val="auto"/>
        </w:rPr>
      </w:pPr>
    </w:p>
    <w:p>
      <w:pPr>
        <w:jc w:val="both"/>
        <w:ind w:left="7" w:firstLine="692"/>
        <w:spacing w:after="0" w:line="255" w:lineRule="auto"/>
        <w:rPr>
          <w:sz w:val="20"/>
          <w:szCs w:val="20"/>
          <w:color w:val="auto"/>
        </w:rPr>
      </w:pPr>
      <w:r>
        <w:rPr>
          <w:rFonts w:ascii="Times New Roman" w:cs="Times New Roman" w:eastAsia="Times New Roman" w:hAnsi="Times New Roman"/>
          <w:sz w:val="21"/>
          <w:szCs w:val="21"/>
          <w:color w:val="auto"/>
        </w:rPr>
        <w:t>The Firm and OFS Fund prohibit retaliation against any such personnel who, in good faith, seeks help or reports known or suspected violations (even if the reported event is determined not to be a violation), including Supervised Persons who assist in making a report or who cooperate in an investigation. Any Supervised Person who engages in retaliatory conduct will be subject to disciplinary action, up to and including termination of employment.</w:t>
      </w:r>
    </w:p>
    <w:p>
      <w:pPr>
        <w:spacing w:after="0" w:line="27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Page -9-</w:t>
      </w:r>
    </w:p>
    <w:p>
      <w:pPr>
        <w:spacing w:after="0" w:line="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803910</wp:posOffset>
            </wp:positionV>
            <wp:extent cx="71831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7"/>
          </w:cols>
          <w:pgMar w:left="893" w:top="1440" w:right="878"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18007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2">
                      <a:extLst>
                        <a:ext uri="{28A0092B-C50C-407E-A947-70E740481C1C}"/>
                      </a:extLst>
                    </a:blip>
                    <a:srcRect/>
                    <a:stretch>
                      <a:fillRect/>
                    </a:stretch>
                  </pic:blipFill>
                  <pic:spPr bwMode="auto">
                    <a:xfrm>
                      <a:off x="0" y="0"/>
                      <a:ext cx="7162165" cy="818007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87" w:hanging="687"/>
        <w:spacing w:after="0"/>
        <w:tabs>
          <w:tab w:leader="none" w:pos="687"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RESTRICTIONS AND WAIVERS BY OFS ADVISER AND THE OFS FUNDS</w:t>
      </w:r>
    </w:p>
    <w:p>
      <w:pPr>
        <w:spacing w:after="0" w:line="210" w:lineRule="exact"/>
        <w:rPr>
          <w:sz w:val="20"/>
          <w:szCs w:val="20"/>
          <w:color w:val="auto"/>
        </w:rPr>
      </w:pPr>
    </w:p>
    <w:p>
      <w:pPr>
        <w:jc w:val="both"/>
        <w:ind w:left="7" w:firstLine="692"/>
        <w:spacing w:after="0" w:line="235" w:lineRule="auto"/>
        <w:rPr>
          <w:sz w:val="20"/>
          <w:szCs w:val="20"/>
          <w:color w:val="auto"/>
        </w:rPr>
      </w:pPr>
      <w:r>
        <w:rPr>
          <w:rFonts w:ascii="Times New Roman" w:cs="Times New Roman" w:eastAsia="Times New Roman" w:hAnsi="Times New Roman"/>
          <w:sz w:val="22"/>
          <w:szCs w:val="22"/>
          <w:color w:val="auto"/>
        </w:rPr>
        <w:t>From time to time, a Compliance Officer may determine that it is in the best interests of the Firm to subject certain Supervised Persons or other persons (i.e., consultants and third party service providers) to restrictions or requirements in addition to those set forth in the Code. In such cases, the affected persons will be notified of the additional restrictions or requirements and will be required to abide by them as if they were included in the Code. In addition, under extraordinary circumstances, a Compliance Officer may grant a waiver of certain of these restrictions or requirements contained in the Code on a case-by-case basis. In order for a Supervised Person to rely on any such waiver, it must be granted in writing.</w:t>
      </w:r>
    </w:p>
    <w:p>
      <w:pPr>
        <w:spacing w:after="0" w:line="75" w:lineRule="exact"/>
        <w:rPr>
          <w:sz w:val="20"/>
          <w:szCs w:val="20"/>
          <w:color w:val="auto"/>
        </w:rPr>
      </w:pPr>
    </w:p>
    <w:p>
      <w:pPr>
        <w:jc w:val="both"/>
        <w:ind w:left="7" w:firstLine="692"/>
        <w:spacing w:after="0" w:line="244" w:lineRule="auto"/>
        <w:rPr>
          <w:sz w:val="20"/>
          <w:szCs w:val="20"/>
          <w:color w:val="auto"/>
        </w:rPr>
      </w:pPr>
      <w:r>
        <w:rPr>
          <w:rFonts w:ascii="Times New Roman" w:cs="Times New Roman" w:eastAsia="Times New Roman" w:hAnsi="Times New Roman"/>
          <w:sz w:val="22"/>
          <w:szCs w:val="22"/>
          <w:color w:val="auto"/>
        </w:rPr>
        <w:t>Any waiver of the requirements of the Code for any OFS Fund Director may be made only by the respective OFS Fund’s board of directors or a committee of the board, and must be promptly disclosed to shareholders of the OFS Fund as required by law or relevant exchange rule or regulation.</w:t>
      </w:r>
    </w:p>
    <w:p>
      <w:pPr>
        <w:spacing w:after="0" w:line="65" w:lineRule="exact"/>
        <w:rPr>
          <w:sz w:val="20"/>
          <w:szCs w:val="20"/>
          <w:color w:val="auto"/>
        </w:rPr>
      </w:pPr>
    </w:p>
    <w:p>
      <w:pPr>
        <w:jc w:val="both"/>
        <w:ind w:left="7" w:firstLine="692"/>
        <w:spacing w:after="0" w:line="258" w:lineRule="auto"/>
        <w:rPr>
          <w:sz w:val="20"/>
          <w:szCs w:val="20"/>
          <w:color w:val="auto"/>
        </w:rPr>
      </w:pPr>
      <w:r>
        <w:rPr>
          <w:rFonts w:ascii="Times New Roman" w:cs="Times New Roman" w:eastAsia="Times New Roman" w:hAnsi="Times New Roman"/>
          <w:sz w:val="22"/>
          <w:szCs w:val="22"/>
          <w:color w:val="auto"/>
        </w:rPr>
        <w:t>The Compliance Department maintains a log of all requests for exceptions and waivers and the determinations made with respect to such requests.</w:t>
      </w:r>
    </w:p>
    <w:p>
      <w:pPr>
        <w:spacing w:after="0" w:line="46" w:lineRule="exact"/>
        <w:rPr>
          <w:sz w:val="20"/>
          <w:szCs w:val="20"/>
          <w:color w:val="auto"/>
        </w:rPr>
      </w:pPr>
    </w:p>
    <w:p>
      <w:pPr>
        <w:ind w:left="687" w:hanging="687"/>
        <w:spacing w:after="0"/>
        <w:tabs>
          <w:tab w:leader="none" w:pos="687"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REVIEW BY THE BOARD OF DIRECTORS OF EACH OFS FUND</w:t>
      </w:r>
    </w:p>
    <w:p>
      <w:pPr>
        <w:spacing w:after="0" w:line="210" w:lineRule="exact"/>
        <w:rPr>
          <w:sz w:val="20"/>
          <w:szCs w:val="20"/>
          <w:color w:val="auto"/>
        </w:rPr>
      </w:pPr>
    </w:p>
    <w:p>
      <w:pPr>
        <w:jc w:val="both"/>
        <w:ind w:left="7" w:firstLine="692"/>
        <w:spacing w:after="0" w:line="234" w:lineRule="auto"/>
        <w:rPr>
          <w:sz w:val="20"/>
          <w:szCs w:val="20"/>
          <w:color w:val="auto"/>
        </w:rPr>
      </w:pPr>
      <w:r>
        <w:rPr>
          <w:rFonts w:ascii="Times New Roman" w:cs="Times New Roman" w:eastAsia="Times New Roman" w:hAnsi="Times New Roman"/>
          <w:sz w:val="22"/>
          <w:szCs w:val="22"/>
          <w:color w:val="auto"/>
        </w:rPr>
        <w:t>The CCO will prepare a written report to be considered by the board of directors of each OFS Fund (1) quarterly, that identifies any violations of the Code with respect to each OFS Fund requiring significant remedial action during the past quarter and the nature of that remedial action; and (2) annually, that (a) describes any issues arising under the Code since the last written report to the Board, including, but not limited to, information about material violations of the Code and sanctions imposed in response to such violations, and (b) identifies any recommended changes in existing restrictions or procedures based upon each OFS Fund’s and/or OFS Adviser’s experience under the Code, then- prevailing industry practices, or developments in applicable laws or regulations, and (c) certifies that each OFS Fund and OFS Adviser have each adopted procedures reasonably designed to prevent violations of the Code, and of the federal securities laws in accordance with the requirements of the Advisers Act and the Company Act.</w:t>
      </w:r>
    </w:p>
    <w:p>
      <w:pPr>
        <w:spacing w:after="0" w:line="71" w:lineRule="exact"/>
        <w:rPr>
          <w:sz w:val="20"/>
          <w:szCs w:val="20"/>
          <w:color w:val="auto"/>
        </w:rPr>
      </w:pPr>
    </w:p>
    <w:p>
      <w:pPr>
        <w:jc w:val="both"/>
        <w:ind w:left="7" w:firstLine="692"/>
        <w:spacing w:after="0" w:line="244" w:lineRule="auto"/>
        <w:rPr>
          <w:sz w:val="20"/>
          <w:szCs w:val="20"/>
          <w:color w:val="auto"/>
        </w:rPr>
      </w:pPr>
      <w:r>
        <w:rPr>
          <w:rFonts w:ascii="Times New Roman" w:cs="Times New Roman" w:eastAsia="Times New Roman" w:hAnsi="Times New Roman"/>
          <w:sz w:val="22"/>
          <w:szCs w:val="22"/>
          <w:color w:val="auto"/>
        </w:rPr>
        <w:t>The board of directors of each OFS Fund will also be asked to approve any material changes to the Code within six (6) months after the adoption of such change, based on a determination that the Code, as amended, contains policies and procedures reasonably designed to prevent violations of the federal securities laws.</w:t>
      </w:r>
    </w:p>
    <w:p>
      <w:pPr>
        <w:spacing w:after="0" w:line="61" w:lineRule="exact"/>
        <w:rPr>
          <w:sz w:val="20"/>
          <w:szCs w:val="20"/>
          <w:color w:val="auto"/>
        </w:rPr>
      </w:pPr>
    </w:p>
    <w:p>
      <w:pPr>
        <w:ind w:left="687" w:hanging="687"/>
        <w:spacing w:after="0"/>
        <w:tabs>
          <w:tab w:leader="none" w:pos="687"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CCO REPORTING</w:t>
      </w:r>
    </w:p>
    <w:p>
      <w:pPr>
        <w:spacing w:after="0" w:line="210" w:lineRule="exact"/>
        <w:rPr>
          <w:sz w:val="20"/>
          <w:szCs w:val="20"/>
          <w:color w:val="auto"/>
        </w:rPr>
      </w:pPr>
    </w:p>
    <w:p>
      <w:pPr>
        <w:ind w:left="7" w:firstLine="692"/>
        <w:spacing w:after="0" w:line="258" w:lineRule="auto"/>
        <w:rPr>
          <w:sz w:val="20"/>
          <w:szCs w:val="20"/>
          <w:color w:val="auto"/>
        </w:rPr>
      </w:pPr>
      <w:r>
        <w:rPr>
          <w:rFonts w:ascii="Times New Roman" w:cs="Times New Roman" w:eastAsia="Times New Roman" w:hAnsi="Times New Roman"/>
          <w:sz w:val="22"/>
          <w:szCs w:val="22"/>
          <w:color w:val="auto"/>
        </w:rPr>
        <w:t>The CCO prepares a written report to be considered by Senior Management no less than annually, that (a) describes any issues arising under the Code since the last written report, including,</w:t>
      </w:r>
    </w:p>
    <w:p>
      <w:pPr>
        <w:spacing w:after="0" w:line="37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Page -10-</w:t>
      </w:r>
    </w:p>
    <w:p>
      <w:pPr>
        <w:spacing w:after="0" w:line="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803910</wp:posOffset>
            </wp:positionV>
            <wp:extent cx="71831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7"/>
          </w:cols>
          <w:pgMar w:left="893" w:top="1440" w:right="878" w:bottom="1440" w:gutter="0" w:footer="0" w:header="0"/>
        </w:sectPr>
      </w:pPr>
    </w:p>
    <w:bookmarkStart w:id="80" w:name="page81"/>
    <w:bookmarkEnd w:id="80"/>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4372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4">
                      <a:extLst>
                        <a:ext uri="{28A0092B-C50C-407E-A947-70E740481C1C}"/>
                      </a:extLst>
                    </a:blip>
                    <a:srcRect/>
                    <a:stretch>
                      <a:fillRect/>
                    </a:stretch>
                  </pic:blipFill>
                  <pic:spPr bwMode="auto">
                    <a:xfrm>
                      <a:off x="0" y="0"/>
                      <a:ext cx="7162165" cy="8437245"/>
                    </a:xfrm>
                    <a:prstGeom prst="rect">
                      <a:avLst/>
                    </a:prstGeom>
                    <a:noFill/>
                  </pic:spPr>
                </pic:pic>
              </a:graphicData>
            </a:graphic>
          </wp:anchor>
        </w:drawing>
      </w:r>
    </w:p>
    <w:p>
      <w:pPr>
        <w:jc w:val="both"/>
        <w:ind w:left="7"/>
        <w:spacing w:after="0" w:line="239" w:lineRule="auto"/>
        <w:rPr>
          <w:sz w:val="20"/>
          <w:szCs w:val="20"/>
          <w:color w:val="auto"/>
        </w:rPr>
      </w:pPr>
      <w:r>
        <w:rPr>
          <w:rFonts w:ascii="Times New Roman" w:cs="Times New Roman" w:eastAsia="Times New Roman" w:hAnsi="Times New Roman"/>
          <w:sz w:val="22"/>
          <w:szCs w:val="22"/>
          <w:color w:val="auto"/>
        </w:rPr>
        <w:t>but not limited to, information about material violations of the Code and sanctions imposed in response to such violations, and (b) identifies any recommended changes in existing restrictions or procedures based upon OFS Adviser’s experience under the Code, then-prevailing industry practices, or developments in applicable laws or regulations.</w:t>
      </w:r>
    </w:p>
    <w:p>
      <w:pPr>
        <w:spacing w:after="0" w:line="72" w:lineRule="exact"/>
        <w:rPr>
          <w:sz w:val="20"/>
          <w:szCs w:val="20"/>
          <w:color w:val="auto"/>
        </w:rPr>
      </w:pPr>
    </w:p>
    <w:p>
      <w:pPr>
        <w:jc w:val="both"/>
        <w:ind w:left="7" w:firstLine="692"/>
        <w:spacing w:after="0" w:line="236" w:lineRule="auto"/>
        <w:rPr>
          <w:sz w:val="20"/>
          <w:szCs w:val="20"/>
          <w:color w:val="auto"/>
        </w:rPr>
      </w:pPr>
      <w:r>
        <w:rPr>
          <w:rFonts w:ascii="Times New Roman" w:cs="Times New Roman" w:eastAsia="Times New Roman" w:hAnsi="Times New Roman"/>
          <w:sz w:val="22"/>
          <w:szCs w:val="22"/>
          <w:color w:val="auto"/>
        </w:rPr>
        <w:t>The CCO of each OFS Fund prepares a written report to be considered by the relevant OFS Fund Directors no less than annually, that (a) describes any issues arising under the Compliance Policies since the last written report, including, but not limited to, information about material violations of the Compliance Policies and sanctions imposed in response to such violations, and (b) identifies any recommended changes in existing restrictions or procedures based upon each OFS Fund’s and/or OFS Adviser’s experience under the Compliance Policies, then-prevailing industry practices, or developments in applicable laws or regulations.</w:t>
      </w:r>
    </w:p>
    <w:p>
      <w:pPr>
        <w:spacing w:after="0" w:line="69" w:lineRule="exact"/>
        <w:rPr>
          <w:sz w:val="20"/>
          <w:szCs w:val="20"/>
          <w:color w:val="auto"/>
        </w:rPr>
      </w:pPr>
    </w:p>
    <w:p>
      <w:pPr>
        <w:ind w:left="687" w:hanging="687"/>
        <w:spacing w:after="0"/>
        <w:tabs>
          <w:tab w:leader="none" w:pos="687"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CCO AND COMPLIANCE OVERSIGHT</w:t>
      </w:r>
    </w:p>
    <w:p>
      <w:pPr>
        <w:spacing w:after="0" w:line="210" w:lineRule="exact"/>
        <w:rPr>
          <w:sz w:val="20"/>
          <w:szCs w:val="20"/>
          <w:color w:val="auto"/>
        </w:rPr>
      </w:pPr>
    </w:p>
    <w:p>
      <w:pPr>
        <w:jc w:val="both"/>
        <w:ind w:left="7" w:firstLine="692"/>
        <w:spacing w:after="0" w:line="234" w:lineRule="auto"/>
        <w:rPr>
          <w:sz w:val="20"/>
          <w:szCs w:val="20"/>
          <w:color w:val="auto"/>
        </w:rPr>
      </w:pPr>
      <w:r>
        <w:rPr>
          <w:rFonts w:ascii="Times New Roman" w:cs="Times New Roman" w:eastAsia="Times New Roman" w:hAnsi="Times New Roman"/>
          <w:sz w:val="22"/>
          <w:szCs w:val="22"/>
          <w:color w:val="auto"/>
        </w:rPr>
        <w:t>All requirements and prohibitions under this Code are likewise applicable to the CCO and all Compliance Department employees. For the purpose of addressing actual and perceived conflicts of interest and potential self-dealing, with the exception of potential transactions that are automatically precleared or denied through the Firm’s compliance portal (e.g., certain personal trades), any pre-approval request as submitted by a Compliance Department employee, excluding the CCO, must be reviewed and approved, as applicable, by another member of the Compliance Department. Pre-approval requests of the CCO, with the exception of potential transactions that are automatically precleared or denied through the Firm’s compliance portal, must be reviewed and approved as applicable, by CIM’s Chief Legal Counsel (“CLC”). Under no circumstances should the CCO or any Compliance Department employee review his/her own report or approve his/her own pre-approval request or their direct supervisor's preclearance request.</w:t>
      </w:r>
    </w:p>
    <w:p>
      <w:pPr>
        <w:spacing w:after="0" w:line="71" w:lineRule="exact"/>
        <w:rPr>
          <w:sz w:val="20"/>
          <w:szCs w:val="20"/>
          <w:color w:val="auto"/>
        </w:rPr>
      </w:pPr>
    </w:p>
    <w:p>
      <w:pPr>
        <w:jc w:val="both"/>
        <w:ind w:left="7" w:firstLine="581"/>
        <w:spacing w:after="0" w:line="244" w:lineRule="auto"/>
        <w:rPr>
          <w:sz w:val="20"/>
          <w:szCs w:val="20"/>
          <w:color w:val="auto"/>
        </w:rPr>
      </w:pPr>
      <w:r>
        <w:rPr>
          <w:rFonts w:ascii="Times New Roman" w:cs="Times New Roman" w:eastAsia="Times New Roman" w:hAnsi="Times New Roman"/>
          <w:sz w:val="22"/>
          <w:szCs w:val="22"/>
          <w:color w:val="auto"/>
        </w:rPr>
        <w:t>Potential Code violations by the CCO must be reviewed by the CLC. Potential Code violations by a Compliance Department employee must be reviewed by the CCO. If it is determined that a violation occurred, the CCO or employee will be subject to the applicable sanction(s) under the Code.</w:t>
      </w:r>
    </w:p>
    <w:p>
      <w:pPr>
        <w:spacing w:after="0" w:line="61" w:lineRule="exact"/>
        <w:rPr>
          <w:sz w:val="20"/>
          <w:szCs w:val="20"/>
          <w:color w:val="auto"/>
        </w:rPr>
      </w:pPr>
    </w:p>
    <w:p>
      <w:pPr>
        <w:ind w:left="687" w:hanging="687"/>
        <w:spacing w:after="0"/>
        <w:tabs>
          <w:tab w:leader="none" w:pos="687"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10" w:lineRule="exact"/>
        <w:rPr>
          <w:sz w:val="20"/>
          <w:szCs w:val="20"/>
          <w:color w:val="auto"/>
        </w:rPr>
      </w:pPr>
    </w:p>
    <w:p>
      <w:pPr>
        <w:jc w:val="both"/>
        <w:ind w:left="7" w:firstLine="692"/>
        <w:spacing w:after="0" w:line="236" w:lineRule="auto"/>
        <w:rPr>
          <w:sz w:val="20"/>
          <w:szCs w:val="20"/>
          <w:color w:val="auto"/>
        </w:rPr>
      </w:pPr>
      <w:r>
        <w:rPr>
          <w:rFonts w:ascii="Times New Roman" w:cs="Times New Roman" w:eastAsia="Times New Roman" w:hAnsi="Times New Roman"/>
          <w:sz w:val="22"/>
          <w:szCs w:val="22"/>
          <w:color w:val="auto"/>
        </w:rPr>
        <w:t>Supervised Persons will be given access to and become acquainted with highly confidential information about the Firm such as its financial information, business plans and strategies, investment strategies and opportunities, affiliated companies and internal policies and practices, as well as information relating to past, current and prospective Advisory Clients and Portfolio Companies. Such information must not be disclosed or discussed with anyone other than the Firm’s employees under any circumstances, and only on a “need to know” basis, unless otherwise permitted by the Legal or Compliance Departments.</w:t>
      </w:r>
    </w:p>
    <w:p>
      <w:pPr>
        <w:spacing w:after="0" w:line="73" w:lineRule="exact"/>
        <w:rPr>
          <w:sz w:val="20"/>
          <w:szCs w:val="20"/>
          <w:color w:val="auto"/>
        </w:rPr>
      </w:pPr>
    </w:p>
    <w:p>
      <w:pPr>
        <w:jc w:val="both"/>
        <w:ind w:left="7" w:firstLine="692"/>
        <w:spacing w:after="0" w:line="244" w:lineRule="auto"/>
        <w:rPr>
          <w:sz w:val="20"/>
          <w:szCs w:val="20"/>
          <w:color w:val="auto"/>
        </w:rPr>
      </w:pPr>
      <w:r>
        <w:rPr>
          <w:rFonts w:ascii="Times New Roman" w:cs="Times New Roman" w:eastAsia="Times New Roman" w:hAnsi="Times New Roman"/>
          <w:sz w:val="22"/>
          <w:szCs w:val="22"/>
          <w:color w:val="auto"/>
        </w:rPr>
        <w:t>Although we do encourage employees to report any concerns, suspected violation(s) of our various codes of conduct, any activity that may adversely affect the Firm’s business or reputation, any ESG-related concerns or violations, or any other inappropriate conduct to their supervisor, Compliance,</w:t>
      </w:r>
    </w:p>
    <w:p>
      <w:pPr>
        <w:spacing w:after="0" w:line="38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Page -11-</w:t>
      </w:r>
    </w:p>
    <w:p>
      <w:pPr>
        <w:spacing w:after="0" w:line="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803910</wp:posOffset>
            </wp:positionV>
            <wp:extent cx="71831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7"/>
          </w:cols>
          <w:pgMar w:left="893" w:top="1440" w:right="878" w:bottom="1440" w:gutter="0" w:footer="0" w:header="0"/>
        </w:sectPr>
      </w:pPr>
    </w:p>
    <w:bookmarkStart w:id="81" w:name="page82"/>
    <w:bookmarkEnd w:id="81"/>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41681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6">
                      <a:extLst>
                        <a:ext uri="{28A0092B-C50C-407E-A947-70E740481C1C}"/>
                      </a:extLst>
                    </a:blip>
                    <a:srcRect/>
                    <a:stretch>
                      <a:fillRect/>
                    </a:stretch>
                  </pic:blipFill>
                  <pic:spPr bwMode="auto">
                    <a:xfrm>
                      <a:off x="0" y="0"/>
                      <a:ext cx="7162165" cy="4168140"/>
                    </a:xfrm>
                    <a:prstGeom prst="rect">
                      <a:avLst/>
                    </a:prstGeom>
                    <a:noFill/>
                  </pic:spPr>
                </pic:pic>
              </a:graphicData>
            </a:graphic>
          </wp:anchor>
        </w:drawing>
      </w:r>
    </w:p>
    <w:p>
      <w:pPr>
        <w:jc w:val="both"/>
        <w:ind w:left="7"/>
        <w:spacing w:after="0" w:line="261" w:lineRule="auto"/>
        <w:rPr>
          <w:sz w:val="20"/>
          <w:szCs w:val="20"/>
          <w:color w:val="auto"/>
        </w:rPr>
      </w:pPr>
      <w:r>
        <w:rPr>
          <w:rFonts w:ascii="Times New Roman" w:cs="Times New Roman" w:eastAsia="Times New Roman" w:hAnsi="Times New Roman"/>
          <w:sz w:val="21"/>
          <w:szCs w:val="21"/>
          <w:color w:val="auto"/>
        </w:rPr>
        <w:t>or Legal, there may be times where employees may not feel comfortable voicing these concerns or problems to them. If employees desire or need to report a violation or misconduct, they can do so by reaching out to the ReportIt hotline. Please refer to the Whistleblower policy for additional information on providing confidential information.</w:t>
      </w:r>
    </w:p>
    <w:p>
      <w:pPr>
        <w:spacing w:after="0" w:line="45" w:lineRule="exact"/>
        <w:rPr>
          <w:sz w:val="20"/>
          <w:szCs w:val="20"/>
          <w:color w:val="auto"/>
        </w:rPr>
      </w:pPr>
    </w:p>
    <w:p>
      <w:pPr>
        <w:ind w:left="687" w:hanging="687"/>
        <w:spacing w:after="0"/>
        <w:tabs>
          <w:tab w:leader="none" w:pos="687"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CONFLICT WITH EMPLOYEE HANDBOOK</w:t>
      </w:r>
    </w:p>
    <w:p>
      <w:pPr>
        <w:spacing w:after="0" w:line="210" w:lineRule="exact"/>
        <w:rPr>
          <w:sz w:val="20"/>
          <w:szCs w:val="20"/>
          <w:color w:val="auto"/>
        </w:rPr>
      </w:pPr>
    </w:p>
    <w:p>
      <w:pPr>
        <w:jc w:val="both"/>
        <w:ind w:left="7" w:firstLine="692"/>
        <w:spacing w:after="0" w:line="238" w:lineRule="auto"/>
        <w:rPr>
          <w:sz w:val="20"/>
          <w:szCs w:val="20"/>
          <w:color w:val="auto"/>
        </w:rPr>
      </w:pPr>
      <w:r>
        <w:rPr>
          <w:rFonts w:ascii="Times New Roman" w:cs="Times New Roman" w:eastAsia="Times New Roman" w:hAnsi="Times New Roman"/>
          <w:sz w:val="22"/>
          <w:szCs w:val="22"/>
          <w:color w:val="auto"/>
        </w:rPr>
        <w:t>Where this Code addresses policies that are also addressed in other corporate policies or in the Employee Handbook of Orchard First Source Capital, Inc. or another Affiliate by which a Supervised Person is employed, the policies herein are intended to augment, and not to supersede or replace, the relevant corporate or Employee Handbook policies. In the event of any conflict that would prohibit a Supervised Person from complying with both sets of policies, the Supervised Person should address the conflict to a Compliance Officer.</w:t>
      </w:r>
    </w:p>
    <w:p>
      <w:pPr>
        <w:spacing w:after="0" w:line="39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Page -12-</w:t>
      </w:r>
    </w:p>
    <w:p>
      <w:pPr>
        <w:spacing w:after="0" w:line="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803910</wp:posOffset>
            </wp:positionV>
            <wp:extent cx="71831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7"/>
          </w:cols>
          <w:pgMar w:left="893" w:top="1440" w:right="878" w:bottom="1440" w:gutter="0" w:footer="0" w:header="0"/>
        </w:sectPr>
      </w:pPr>
    </w:p>
    <w:bookmarkStart w:id="82" w:name="page83"/>
    <w:bookmarkEnd w:id="82"/>
    <w:p>
      <w:pPr>
        <w:spacing w:after="0" w:line="2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52297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8">
                      <a:extLst>
                        <a:ext uri="{28A0092B-C50C-407E-A947-70E740481C1C}"/>
                      </a:extLst>
                    </a:blip>
                    <a:srcRect/>
                    <a:stretch>
                      <a:fillRect/>
                    </a:stretch>
                  </pic:blipFill>
                  <pic:spPr bwMode="auto">
                    <a:xfrm>
                      <a:off x="0" y="0"/>
                      <a:ext cx="7162165" cy="8522970"/>
                    </a:xfrm>
                    <a:prstGeom prst="rect">
                      <a:avLst/>
                    </a:prstGeom>
                    <a:noFill/>
                  </pic:spPr>
                </pic:pic>
              </a:graphicData>
            </a:graphic>
          </wp:anchor>
        </w:drawing>
      </w:r>
    </w:p>
    <w:p>
      <w:pPr>
        <w:ind w:left="3740" w:hanging="685"/>
        <w:spacing w:after="0"/>
        <w:tabs>
          <w:tab w:leader="none" w:pos="3740" w:val="left"/>
        </w:tabs>
        <w:numPr>
          <w:ilvl w:val="1"/>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PERSONAL INVESTMENT POLICY</w:t>
      </w:r>
    </w:p>
    <w:p>
      <w:pPr>
        <w:spacing w:after="0" w:line="200" w:lineRule="exact"/>
        <w:rPr>
          <w:rFonts w:ascii="Times New Roman" w:cs="Times New Roman" w:eastAsia="Times New Roman" w:hAnsi="Times New Roman"/>
          <w:sz w:val="22"/>
          <w:szCs w:val="22"/>
          <w:b w:val="1"/>
          <w:bCs w:val="1"/>
          <w:color w:val="auto"/>
        </w:rPr>
      </w:pPr>
    </w:p>
    <w:p>
      <w:pPr>
        <w:spacing w:after="0" w:line="222" w:lineRule="exact"/>
        <w:rPr>
          <w:rFonts w:ascii="Times New Roman" w:cs="Times New Roman" w:eastAsia="Times New Roman" w:hAnsi="Times New Roman"/>
          <w:sz w:val="22"/>
          <w:szCs w:val="22"/>
          <w:b w:val="1"/>
          <w:bCs w:val="1"/>
          <w:color w:val="auto"/>
        </w:rPr>
      </w:pPr>
    </w:p>
    <w:p>
      <w:pPr>
        <w:ind w:left="800" w:hanging="687"/>
        <w:spacing w:after="0"/>
        <w:tabs>
          <w:tab w:leader="none" w:pos="80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 AND DEFINITIONS</w:t>
      </w:r>
    </w:p>
    <w:p>
      <w:pPr>
        <w:spacing w:after="0" w:line="210" w:lineRule="exact"/>
        <w:rPr>
          <w:rFonts w:ascii="Times New Roman" w:cs="Times New Roman" w:eastAsia="Times New Roman" w:hAnsi="Times New Roman"/>
          <w:sz w:val="22"/>
          <w:szCs w:val="22"/>
          <w:b w:val="1"/>
          <w:bCs w:val="1"/>
          <w:color w:val="auto"/>
        </w:rPr>
      </w:pPr>
    </w:p>
    <w:p>
      <w:pPr>
        <w:ind w:left="8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Advisers Act, specifically Rule 204A-1, requires “Access Persons” of a registered investment adviser,</w:t>
      </w:r>
    </w:p>
    <w:p>
      <w:pPr>
        <w:spacing w:after="0" w:line="14" w:lineRule="exact"/>
        <w:rPr>
          <w:sz w:val="20"/>
          <w:szCs w:val="20"/>
          <w:color w:val="auto"/>
        </w:rPr>
      </w:pPr>
    </w:p>
    <w:p>
      <w:pPr>
        <w:jc w:val="both"/>
        <w:ind w:left="120" w:right="80"/>
        <w:spacing w:after="0" w:line="235" w:lineRule="auto"/>
        <w:rPr>
          <w:sz w:val="20"/>
          <w:szCs w:val="20"/>
          <w:color w:val="auto"/>
        </w:rPr>
      </w:pPr>
      <w:r>
        <w:rPr>
          <w:rFonts w:ascii="Times New Roman" w:cs="Times New Roman" w:eastAsia="Times New Roman" w:hAnsi="Times New Roman"/>
          <w:sz w:val="22"/>
          <w:szCs w:val="22"/>
          <w:color w:val="auto"/>
        </w:rPr>
        <w:t>such as OFS Adviser, to provide periodic reports regarding transactions and holdings in "Reportable Securities" (as defined below) beneficially owned by Access Persons. Rule 17j-1 under the Company Act requires similar reports for “Access Persons” to a Fund, such as each of the OFS Funds.</w:t>
      </w:r>
    </w:p>
    <w:p>
      <w:pPr>
        <w:spacing w:after="0" w:line="70" w:lineRule="exact"/>
        <w:rPr>
          <w:sz w:val="20"/>
          <w:szCs w:val="20"/>
          <w:color w:val="auto"/>
        </w:rPr>
      </w:pPr>
    </w:p>
    <w:p>
      <w:pPr>
        <w:jc w:val="both"/>
        <w:ind w:left="120" w:right="80" w:firstLine="692"/>
        <w:spacing w:after="0" w:line="235" w:lineRule="auto"/>
        <w:rPr>
          <w:sz w:val="20"/>
          <w:szCs w:val="20"/>
          <w:color w:val="auto"/>
        </w:rPr>
      </w:pPr>
      <w:r>
        <w:rPr>
          <w:rFonts w:ascii="Times New Roman" w:cs="Times New Roman" w:eastAsia="Times New Roman" w:hAnsi="Times New Roman"/>
          <w:sz w:val="22"/>
          <w:szCs w:val="22"/>
          <w:color w:val="auto"/>
        </w:rPr>
        <w:t>The purpose of this Personal Investment Policy and related procedures is to advise Access Persons of their ethical and legal responsibilities with respect to Securities transactions that may involve (i) possible conflicts of interest with Advisory Clients, including the OFS Funds, and (ii) the possession and use of material, nonpublic information (“MNPI”). It is a violation of the Code for any Access Person of OFS Adviser or any OFS Fund to use their knowledge concerning a trade, pending trade, or contemplated trade or investment by an OFS Fund or any other Advisory Client to profit personally, directly or indirectly, as a result of such transaction, including by purchasing or selling such Securities.</w:t>
      </w:r>
    </w:p>
    <w:p>
      <w:pPr>
        <w:spacing w:after="0" w:line="75" w:lineRule="exact"/>
        <w:rPr>
          <w:sz w:val="20"/>
          <w:szCs w:val="20"/>
          <w:color w:val="auto"/>
        </w:rPr>
      </w:pPr>
    </w:p>
    <w:p>
      <w:pPr>
        <w:jc w:val="both"/>
        <w:ind w:left="120" w:right="80" w:firstLine="692"/>
        <w:spacing w:after="0" w:line="258" w:lineRule="auto"/>
        <w:rPr>
          <w:sz w:val="20"/>
          <w:szCs w:val="20"/>
          <w:color w:val="auto"/>
        </w:rPr>
      </w:pPr>
      <w:r>
        <w:rPr>
          <w:rFonts w:ascii="Times New Roman" w:cs="Times New Roman" w:eastAsia="Times New Roman" w:hAnsi="Times New Roman"/>
          <w:sz w:val="22"/>
          <w:szCs w:val="22"/>
          <w:color w:val="auto"/>
        </w:rPr>
        <w:t>The following definitions are utilized within this Personal Investments Policy and more broadly within the rest of the Code.</w:t>
      </w:r>
    </w:p>
    <w:p>
      <w:pPr>
        <w:spacing w:after="0" w:line="50" w:lineRule="exact"/>
        <w:rPr>
          <w:sz w:val="20"/>
          <w:szCs w:val="20"/>
          <w:color w:val="auto"/>
        </w:rPr>
      </w:pPr>
    </w:p>
    <w:p>
      <w:pPr>
        <w:jc w:val="both"/>
        <w:ind w:left="120" w:right="80" w:firstLine="692"/>
        <w:spacing w:after="0" w:line="252" w:lineRule="auto"/>
        <w:rPr>
          <w:sz w:val="20"/>
          <w:szCs w:val="20"/>
          <w:color w:val="auto"/>
        </w:rPr>
      </w:pPr>
      <w:r>
        <w:rPr>
          <w:rFonts w:ascii="Times New Roman" w:cs="Times New Roman" w:eastAsia="Times New Roman" w:hAnsi="Times New Roman"/>
          <w:sz w:val="21"/>
          <w:szCs w:val="21"/>
          <w:u w:val="single" w:color="auto"/>
          <w:color w:val="auto"/>
        </w:rPr>
        <w:t>“Access Person”</w:t>
      </w:r>
      <w:r>
        <w:rPr>
          <w:rFonts w:ascii="Times New Roman" w:cs="Times New Roman" w:eastAsia="Times New Roman" w:hAnsi="Times New Roman"/>
          <w:sz w:val="21"/>
          <w:szCs w:val="21"/>
          <w:color w:val="auto"/>
        </w:rPr>
        <w:t xml:space="preserve"> with respect to OFS Adviser means (a) any Supervised Person who (i) has access to nonpublic information regarding any Advisory Client’s purchase or sale of Securities, or nonpublic information regarding the portfolio holdings of any Advisory Client (including any OFS Fund); or (ii) is involved in making Securities recommendations to Advisory Clients (including any OFS Fund), or has access to such recommendations</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that are nonpublic; and (b) all directors, officers and partners of OFS Adviser.</w:t>
      </w:r>
      <w:r>
        <w:rPr>
          <w:rFonts w:ascii="Times New Roman" w:cs="Times New Roman" w:eastAsia="Times New Roman" w:hAnsi="Times New Roman"/>
          <w:sz w:val="28"/>
          <w:szCs w:val="28"/>
          <w:color w:val="auto"/>
          <w:vertAlign w:val="superscript"/>
        </w:rPr>
        <w:t>5</w:t>
      </w:r>
    </w:p>
    <w:p>
      <w:pPr>
        <w:spacing w:after="0" w:line="60" w:lineRule="exact"/>
        <w:rPr>
          <w:sz w:val="20"/>
          <w:szCs w:val="20"/>
          <w:color w:val="auto"/>
        </w:rPr>
      </w:pPr>
    </w:p>
    <w:p>
      <w:pPr>
        <w:jc w:val="both"/>
        <w:ind w:left="120" w:right="80" w:firstLine="692"/>
        <w:spacing w:after="0" w:line="233" w:lineRule="auto"/>
        <w:rPr>
          <w:sz w:val="20"/>
          <w:szCs w:val="20"/>
          <w:color w:val="auto"/>
        </w:rPr>
      </w:pPr>
      <w:r>
        <w:rPr>
          <w:rFonts w:ascii="Times New Roman" w:cs="Times New Roman" w:eastAsia="Times New Roman" w:hAnsi="Times New Roman"/>
          <w:sz w:val="22"/>
          <w:szCs w:val="22"/>
          <w:color w:val="auto"/>
        </w:rPr>
        <w:t>For purposes of the Code, all Supervised Persons are generally considered to be Access Persons of OFS Adviser, and all Access Persons of OFS Adviser are considered to be Access Persons of each OFS Fund. OFS Fund Disinterested Directors are also considered Access Persons of each OFS Fund but are generally exempt from Recordkeeping, Reporting and Statement of Restrictions requirements of Access Persons included in this Code, except as described in Section II.D below.</w:t>
      </w:r>
    </w:p>
    <w:p>
      <w:pPr>
        <w:spacing w:after="0" w:line="73" w:lineRule="exact"/>
        <w:rPr>
          <w:sz w:val="20"/>
          <w:szCs w:val="20"/>
          <w:color w:val="auto"/>
        </w:rPr>
      </w:pPr>
    </w:p>
    <w:p>
      <w:pPr>
        <w:jc w:val="both"/>
        <w:ind w:left="120" w:right="80" w:firstLine="692"/>
        <w:spacing w:after="0" w:line="238" w:lineRule="auto"/>
        <w:rPr>
          <w:sz w:val="20"/>
          <w:szCs w:val="20"/>
          <w:color w:val="auto"/>
        </w:rPr>
      </w:pPr>
      <w:r>
        <w:rPr>
          <w:rFonts w:ascii="Times New Roman" w:cs="Times New Roman" w:eastAsia="Times New Roman" w:hAnsi="Times New Roman"/>
          <w:sz w:val="22"/>
          <w:szCs w:val="22"/>
          <w:u w:val="single" w:color="auto"/>
          <w:color w:val="auto"/>
        </w:rPr>
        <w:t>“Affiliate Account”</w:t>
      </w:r>
      <w:r>
        <w:rPr>
          <w:rFonts w:ascii="Times New Roman" w:cs="Times New Roman" w:eastAsia="Times New Roman" w:hAnsi="Times New Roman"/>
          <w:sz w:val="22"/>
          <w:szCs w:val="22"/>
          <w:color w:val="auto"/>
        </w:rPr>
        <w:t xml:space="preserve"> means: (i) the personal Securities account of an Access Person or the account of any Related Person in which Reportable Securities may be held or transacted; (ii) any such Securities account for which any Access Person serves as custodian, trustee, or otherwise acts in a fiduciary capacity or with respect to which an Access Person either has authority to make investment decisions or from time to time makes investment recommendations, except with respect to Advisory</w:t>
      </w:r>
    </w:p>
    <w:p>
      <w:pPr>
        <w:spacing w:after="0" w:line="196" w:lineRule="exact"/>
        <w:rPr>
          <w:sz w:val="20"/>
          <w:szCs w:val="20"/>
          <w:color w:val="auto"/>
        </w:rPr>
      </w:pPr>
    </w:p>
    <w:p>
      <w:pPr>
        <w:ind w:left="100" w:hanging="97"/>
        <w:spacing w:after="0"/>
        <w:tabs>
          <w:tab w:leader="none" w:pos="100" w:val="left"/>
        </w:tabs>
        <w:numPr>
          <w:ilvl w:val="0"/>
          <w:numId w:val="5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Chief Compliance Officer or his/her designee may consider any director, officer, principal, member or employee, including, but not limited to, intern consultants and</w:t>
      </w:r>
    </w:p>
    <w:p>
      <w:pPr>
        <w:spacing w:after="0" w:line="9"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4"/>
          <w:szCs w:val="14"/>
          <w:color w:val="auto"/>
        </w:rPr>
        <w:t>temporary employees, of an Affiliate of OFS Adviser to be a Supervised Person, and Access Person if appropriate, of OFS Adviser if the Chief Compliance Officer determines that such person performs services for OFS Adviser, through any staffing or similar agreement, such that the person would constitute a Supervised Person or Access Person if such person was a director, officer, member, principal or employee, including an intern or temporary employee, of OFS Adviser. The Compliance Department will maintain a list of all such persons and whether each person is (1) a Supervised Person and (2) an Access Person and will notify each person of relevant requirements. The majority of OFS Adviser’s personnel are employees of Orchard First Source Capital, Inc., an Affiliate of OFS Adviser.</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Page -13-</w:t>
      </w:r>
    </w:p>
    <w:p>
      <w:pPr>
        <w:spacing w:after="0" w:line="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641350</wp:posOffset>
            </wp:positionV>
            <wp:extent cx="71831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340"/>
          </w:cols>
          <w:pgMar w:left="780" w:top="1440" w:right="798" w:bottom="1440" w:gutter="0" w:footer="0" w:header="0"/>
        </w:sectPr>
      </w:pPr>
    </w:p>
    <w:bookmarkStart w:id="83" w:name="page84"/>
    <w:bookmarkEnd w:id="83"/>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514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0">
                      <a:extLst>
                        <a:ext uri="{28A0092B-C50C-407E-A947-70E740481C1C}"/>
                      </a:extLst>
                    </a:blip>
                    <a:srcRect/>
                    <a:stretch>
                      <a:fillRect/>
                    </a:stretch>
                  </pic:blipFill>
                  <pic:spPr bwMode="auto">
                    <a:xfrm>
                      <a:off x="0" y="0"/>
                      <a:ext cx="7162165" cy="8514715"/>
                    </a:xfrm>
                    <a:prstGeom prst="rect">
                      <a:avLst/>
                    </a:prstGeom>
                    <a:noFill/>
                  </pic:spPr>
                </pic:pic>
              </a:graphicData>
            </a:graphic>
          </wp:anchor>
        </w:drawing>
      </w:r>
    </w:p>
    <w:p>
      <w:pPr>
        <w:jc w:val="both"/>
        <w:ind w:right="40"/>
        <w:spacing w:after="0" w:line="239" w:lineRule="auto"/>
        <w:rPr>
          <w:sz w:val="20"/>
          <w:szCs w:val="20"/>
          <w:color w:val="auto"/>
        </w:rPr>
      </w:pPr>
      <w:r>
        <w:rPr>
          <w:rFonts w:ascii="Times New Roman" w:cs="Times New Roman" w:eastAsia="Times New Roman" w:hAnsi="Times New Roman"/>
          <w:sz w:val="22"/>
          <w:szCs w:val="22"/>
          <w:color w:val="auto"/>
        </w:rPr>
        <w:t>Clients; (iii) any such Securities account of any person, partnership, joint venture, trust or other entity in which an Access Person or his or her Related Person has Beneficial Ownership or other Beneficial Interest; and (iv) and accounts containing Reportable Funds of which an Access Person or his or her Related Person has Beneficial Ownership or Beneficial Interest.</w:t>
      </w:r>
    </w:p>
    <w:p>
      <w:pPr>
        <w:spacing w:after="0" w:line="72" w:lineRule="exact"/>
        <w:rPr>
          <w:sz w:val="20"/>
          <w:szCs w:val="20"/>
          <w:color w:val="auto"/>
        </w:rPr>
      </w:pPr>
    </w:p>
    <w:p>
      <w:pPr>
        <w:jc w:val="both"/>
        <w:ind w:right="40" w:firstLine="692"/>
        <w:spacing w:after="0" w:line="244" w:lineRule="auto"/>
        <w:rPr>
          <w:sz w:val="20"/>
          <w:szCs w:val="20"/>
          <w:color w:val="auto"/>
        </w:rPr>
      </w:pPr>
      <w:r>
        <w:rPr>
          <w:rFonts w:ascii="Times New Roman" w:cs="Times New Roman" w:eastAsia="Times New Roman" w:hAnsi="Times New Roman"/>
          <w:sz w:val="22"/>
          <w:szCs w:val="22"/>
          <w:u w:val="single" w:color="auto"/>
          <w:color w:val="auto"/>
        </w:rPr>
        <w:t>“Beneficial Interest”</w:t>
      </w:r>
      <w:r>
        <w:rPr>
          <w:rFonts w:ascii="Times New Roman" w:cs="Times New Roman" w:eastAsia="Times New Roman" w:hAnsi="Times New Roman"/>
          <w:sz w:val="22"/>
          <w:szCs w:val="22"/>
          <w:color w:val="auto"/>
        </w:rPr>
        <w:t xml:space="preserve"> means an interest whereby a person can, directly or indirectly, control the disposition of a Security or a Reportable Fund or derive a monetary, pecuniary or other right or benefit from the purchase, sale or ownership of a Security or a Reportable Fund (e.g., interest payments or dividends).</w:t>
      </w:r>
    </w:p>
    <w:p>
      <w:pPr>
        <w:spacing w:after="0" w:line="65" w:lineRule="exact"/>
        <w:rPr>
          <w:sz w:val="20"/>
          <w:szCs w:val="20"/>
          <w:color w:val="auto"/>
        </w:rPr>
      </w:pPr>
    </w:p>
    <w:p>
      <w:pPr>
        <w:jc w:val="both"/>
        <w:ind w:right="40" w:firstLine="692"/>
        <w:spacing w:after="0" w:line="235" w:lineRule="auto"/>
        <w:rPr>
          <w:sz w:val="20"/>
          <w:szCs w:val="20"/>
          <w:color w:val="auto"/>
        </w:rPr>
      </w:pPr>
      <w:r>
        <w:rPr>
          <w:rFonts w:ascii="Times New Roman" w:cs="Times New Roman" w:eastAsia="Times New Roman" w:hAnsi="Times New Roman"/>
          <w:sz w:val="22"/>
          <w:szCs w:val="22"/>
          <w:u w:val="single" w:color="auto"/>
          <w:color w:val="auto"/>
        </w:rPr>
        <w:t>“Beneficial Ownership”</w:t>
      </w:r>
      <w:r>
        <w:rPr>
          <w:rFonts w:ascii="Times New Roman" w:cs="Times New Roman" w:eastAsia="Times New Roman" w:hAnsi="Times New Roman"/>
          <w:sz w:val="22"/>
          <w:szCs w:val="22"/>
          <w:color w:val="auto"/>
        </w:rPr>
        <w:t xml:space="preserve"> of a Security, Reportable Fund or account means, consistent with Section 16 of the Securities Exchange Act of 1934, as amended (the “Exchange Act”) and Rule 16a- 1(a)(2) thereunder, ownership of Securities, Securities accounts, or Reportable Funds by or for the benefit of a person or his or her Related Person. Beneficial Ownership specifically includes any Security or account in which the Access Person or any Related Persons holds a direct or indirect Beneficial Interest or retains voting power (or the ability to direct such a vote) or investment power (which includes the power to acquire or dispose of, or the ability to direct the acquisition or disposition of, a Security, Securities accounts or Reportable Funds), directly or indirectly (e.g., by exercising a power of attorney or otherwise).</w:t>
      </w:r>
    </w:p>
    <w:p>
      <w:pPr>
        <w:spacing w:after="0" w:line="70" w:lineRule="exact"/>
        <w:rPr>
          <w:sz w:val="20"/>
          <w:szCs w:val="20"/>
          <w:color w:val="auto"/>
        </w:rPr>
      </w:pPr>
    </w:p>
    <w:p>
      <w:pPr>
        <w:ind w:right="380" w:firstLine="692"/>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Diversified ETF</w:t>
      </w:r>
      <w:r>
        <w:rPr>
          <w:rFonts w:ascii="Times New Roman" w:cs="Times New Roman" w:eastAsia="Times New Roman" w:hAnsi="Times New Roman"/>
          <w:sz w:val="22"/>
          <w:szCs w:val="22"/>
          <w:color w:val="auto"/>
        </w:rPr>
        <w:t>” for purposes of this Code, means an exchange-traded fund (“ETF”) in which no single underlying issuer represents 20% or more of the ETF’s total assets.</w:t>
      </w:r>
    </w:p>
    <w:p>
      <w:pPr>
        <w:spacing w:after="0" w:line="50" w:lineRule="exact"/>
        <w:rPr>
          <w:sz w:val="20"/>
          <w:szCs w:val="20"/>
          <w:color w:val="auto"/>
        </w:rPr>
      </w:pPr>
    </w:p>
    <w:p>
      <w:pPr>
        <w:jc w:val="both"/>
        <w:ind w:right="40" w:firstLine="692"/>
        <w:spacing w:after="0" w:line="235" w:lineRule="auto"/>
        <w:rPr>
          <w:sz w:val="20"/>
          <w:szCs w:val="20"/>
          <w:color w:val="auto"/>
        </w:rPr>
      </w:pPr>
      <w:r>
        <w:rPr>
          <w:rFonts w:ascii="Times New Roman" w:cs="Times New Roman" w:eastAsia="Times New Roman" w:hAnsi="Times New Roman"/>
          <w:sz w:val="22"/>
          <w:szCs w:val="22"/>
          <w:u w:val="single" w:color="auto"/>
          <w:color w:val="auto"/>
        </w:rPr>
        <w:t>“Exempt Security”</w:t>
      </w:r>
      <w:r>
        <w:rPr>
          <w:rFonts w:ascii="Times New Roman" w:cs="Times New Roman" w:eastAsia="Times New Roman" w:hAnsi="Times New Roman"/>
          <w:sz w:val="22"/>
          <w:szCs w:val="22"/>
          <w:color w:val="auto"/>
        </w:rPr>
        <w:t xml:space="preserve"> is any Security that falls into any of the following categories: (i) shares issued by open-end mutual funds (excluding certain exchange traded funds (“ETFs”), except Reportable Funds, if any; (ii) shares issued by money market funds; (iii) College Direct Savings Plans (e.g., 529 College Savings Program, etc.); (iv) shares issued by unit investment trusts that are invested exclusively in one or more open-end mutual funds (so long as such funds are not Affiliated Securities); (v) bankers’ acceptances, bank certificates of deposit or time deposits, commercial paper and other short term high quality debt instruments with one year or less to maturity; and (vi) treasury obligations (e.g., T-bills, notes and bonds) or other Securities issued/guaranteed by the U.S. Government, its agencies, or instrumentalities (e.g., FNMA, GNMA).</w:t>
      </w:r>
    </w:p>
    <w:p>
      <w:pPr>
        <w:spacing w:after="0" w:line="70" w:lineRule="exact"/>
        <w:rPr>
          <w:sz w:val="20"/>
          <w:szCs w:val="20"/>
          <w:color w:val="auto"/>
        </w:rPr>
      </w:pPr>
    </w:p>
    <w:p>
      <w:pPr>
        <w:ind w:right="160" w:firstLine="692"/>
        <w:spacing w:after="0" w:line="258" w:lineRule="auto"/>
        <w:rPr>
          <w:sz w:val="20"/>
          <w:szCs w:val="20"/>
          <w:color w:val="auto"/>
        </w:rPr>
      </w:pPr>
      <w:r>
        <w:rPr>
          <w:rFonts w:ascii="Times New Roman" w:cs="Times New Roman" w:eastAsia="Times New Roman" w:hAnsi="Times New Roman"/>
          <w:sz w:val="22"/>
          <w:szCs w:val="22"/>
          <w:u w:val="single" w:color="auto"/>
          <w:color w:val="auto"/>
        </w:rPr>
        <w:t>“Managed Accounts</w:t>
      </w:r>
      <w:r>
        <w:rPr>
          <w:rFonts w:ascii="Times New Roman" w:cs="Times New Roman" w:eastAsia="Times New Roman" w:hAnsi="Times New Roman"/>
          <w:sz w:val="22"/>
          <w:szCs w:val="22"/>
          <w:color w:val="auto"/>
        </w:rPr>
        <w:t>” means non-Affiliated Accounts that are controlled or invested on a fully discretionary basis by a third party, such as an investment adviser or broker.</w:t>
      </w:r>
    </w:p>
    <w:p>
      <w:pPr>
        <w:spacing w:after="0" w:line="50" w:lineRule="exact"/>
        <w:rPr>
          <w:sz w:val="20"/>
          <w:szCs w:val="20"/>
          <w:color w:val="auto"/>
        </w:rPr>
      </w:pPr>
    </w:p>
    <w:p>
      <w:pPr>
        <w:ind w:right="460" w:firstLine="692"/>
        <w:spacing w:after="0" w:line="258" w:lineRule="auto"/>
        <w:rPr>
          <w:sz w:val="20"/>
          <w:szCs w:val="20"/>
          <w:color w:val="auto"/>
        </w:rPr>
      </w:pPr>
      <w:r>
        <w:rPr>
          <w:rFonts w:ascii="Times New Roman" w:cs="Times New Roman" w:eastAsia="Times New Roman" w:hAnsi="Times New Roman"/>
          <w:sz w:val="22"/>
          <w:szCs w:val="22"/>
          <w:u w:val="single" w:color="auto"/>
          <w:color w:val="auto"/>
        </w:rPr>
        <w:t>“Non-Managed Account</w:t>
      </w:r>
      <w:r>
        <w:rPr>
          <w:rFonts w:ascii="Times New Roman" w:cs="Times New Roman" w:eastAsia="Times New Roman" w:hAnsi="Times New Roman"/>
          <w:sz w:val="22"/>
          <w:szCs w:val="22"/>
          <w:color w:val="auto"/>
        </w:rPr>
        <w:t>” means any Affiliated Accounts controlled or invested by the Access Person or their Related Persons in which Reportable Securities may be held.</w:t>
      </w:r>
    </w:p>
    <w:p>
      <w:pPr>
        <w:spacing w:after="0" w:line="50" w:lineRule="exact"/>
        <w:rPr>
          <w:sz w:val="20"/>
          <w:szCs w:val="20"/>
          <w:color w:val="auto"/>
        </w:rPr>
      </w:pPr>
    </w:p>
    <w:p>
      <w:pPr>
        <w:ind w:firstLine="692"/>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Prediction Markets</w:t>
      </w:r>
      <w:r>
        <w:rPr>
          <w:rFonts w:ascii="Times New Roman" w:cs="Times New Roman" w:eastAsia="Times New Roman" w:hAnsi="Times New Roman"/>
          <w:sz w:val="22"/>
          <w:szCs w:val="22"/>
          <w:color w:val="auto"/>
        </w:rPr>
        <w:t>” are financial or quasi financial platforms, contracts, or arrangements that allow participants to place bets on the outcome or occurrence of a future event, contingency or condition – whether economic, political, corporate, legal, regulatory or otherwise – where the value, payoff or settlement of such positions is determined by whether a specified event occurs or does not occur. Popular prediction markets include, but are not limited to, Kalshi, Robinhood and Polymarket.</w:t>
      </w:r>
    </w:p>
    <w:p>
      <w:pPr>
        <w:spacing w:after="0" w:line="69" w:lineRule="exact"/>
        <w:rPr>
          <w:sz w:val="20"/>
          <w:szCs w:val="20"/>
          <w:color w:val="auto"/>
        </w:rPr>
      </w:pPr>
    </w:p>
    <w:p>
      <w:pPr>
        <w:ind w:right="40" w:firstLine="765"/>
        <w:spacing w:after="0" w:line="258" w:lineRule="auto"/>
        <w:rPr>
          <w:sz w:val="20"/>
          <w:szCs w:val="20"/>
          <w:color w:val="auto"/>
        </w:rPr>
      </w:pPr>
      <w:r>
        <w:rPr>
          <w:rFonts w:ascii="Times New Roman" w:cs="Times New Roman" w:eastAsia="Times New Roman" w:hAnsi="Times New Roman"/>
          <w:sz w:val="22"/>
          <w:szCs w:val="22"/>
          <w:u w:val="single" w:color="auto"/>
          <w:color w:val="auto"/>
        </w:rPr>
        <w:t>“Related Person”</w:t>
      </w:r>
      <w:r>
        <w:rPr>
          <w:rFonts w:ascii="Times New Roman" w:cs="Times New Roman" w:eastAsia="Times New Roman" w:hAnsi="Times New Roman"/>
          <w:sz w:val="22"/>
          <w:szCs w:val="22"/>
          <w:color w:val="auto"/>
        </w:rPr>
        <w:t xml:space="preserve"> means the spouse, domestic partner, child or stepchild, parent or stepparent, grandchild, grandparent, sibling, mother-in-law, father-in-law, son-in-law, daughter-in-law, brother-in-</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Page -14-</w:t>
      </w:r>
    </w:p>
    <w:p>
      <w:pPr>
        <w:spacing w:after="0" w:line="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641350</wp:posOffset>
            </wp:positionV>
            <wp:extent cx="71831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80"/>
          </w:cols>
          <w:pgMar w:left="900" w:top="1440" w:right="838" w:bottom="1440" w:gutter="0" w:footer="0" w:header="0"/>
        </w:sectPr>
      </w:pPr>
    </w:p>
    <w:bookmarkStart w:id="84" w:name="page85"/>
    <w:bookmarkEnd w:id="84"/>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796607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2">
                      <a:extLst>
                        <a:ext uri="{28A0092B-C50C-407E-A947-70E740481C1C}"/>
                      </a:extLst>
                    </a:blip>
                    <a:srcRect/>
                    <a:stretch>
                      <a:fillRect/>
                    </a:stretch>
                  </pic:blipFill>
                  <pic:spPr bwMode="auto">
                    <a:xfrm>
                      <a:off x="0" y="0"/>
                      <a:ext cx="7162165" cy="7966075"/>
                    </a:xfrm>
                    <a:prstGeom prst="rect">
                      <a:avLst/>
                    </a:prstGeom>
                    <a:noFill/>
                  </pic:spPr>
                </pic:pic>
              </a:graphicData>
            </a:graphic>
          </wp:anchor>
        </w:drawing>
      </w:r>
    </w:p>
    <w:p>
      <w:pPr>
        <w:jc w:val="both"/>
        <w:ind w:left="117"/>
        <w:spacing w:after="0" w:line="258" w:lineRule="auto"/>
        <w:rPr>
          <w:sz w:val="20"/>
          <w:szCs w:val="20"/>
          <w:color w:val="auto"/>
        </w:rPr>
      </w:pPr>
      <w:r>
        <w:rPr>
          <w:rFonts w:ascii="Times New Roman" w:cs="Times New Roman" w:eastAsia="Times New Roman" w:hAnsi="Times New Roman"/>
          <w:sz w:val="22"/>
          <w:szCs w:val="22"/>
          <w:color w:val="auto"/>
        </w:rPr>
        <w:t>law, sister-in-law (including adoptive relationships) of an Access Person, who either resides with, or is financially dependent upon, the Access Person, and whose investments are controlled by the Access Person.</w:t>
      </w:r>
    </w:p>
    <w:p>
      <w:pPr>
        <w:spacing w:after="0" w:line="50" w:lineRule="exact"/>
        <w:rPr>
          <w:sz w:val="20"/>
          <w:szCs w:val="20"/>
          <w:color w:val="auto"/>
        </w:rPr>
      </w:pPr>
    </w:p>
    <w:p>
      <w:pPr>
        <w:ind w:left="117" w:right="100" w:firstLine="692"/>
        <w:spacing w:after="0" w:line="258" w:lineRule="auto"/>
        <w:rPr>
          <w:sz w:val="20"/>
          <w:szCs w:val="20"/>
          <w:color w:val="auto"/>
        </w:rPr>
      </w:pPr>
      <w:r>
        <w:rPr>
          <w:rFonts w:ascii="Times New Roman" w:cs="Times New Roman" w:eastAsia="Times New Roman" w:hAnsi="Times New Roman"/>
          <w:sz w:val="22"/>
          <w:szCs w:val="22"/>
          <w:u w:val="single" w:color="auto"/>
          <w:color w:val="auto"/>
        </w:rPr>
        <w:t>“Reportable Fund”</w:t>
      </w:r>
      <w:r>
        <w:rPr>
          <w:rFonts w:ascii="Times New Roman" w:cs="Times New Roman" w:eastAsia="Times New Roman" w:hAnsi="Times New Roman"/>
          <w:sz w:val="22"/>
          <w:szCs w:val="22"/>
          <w:color w:val="auto"/>
        </w:rPr>
        <w:t xml:space="preserve"> means any Fund for which OFS Advisor or any Affiliate acts as investment adviser, sub-adviser, or underwriter.</w:t>
      </w:r>
    </w:p>
    <w:p>
      <w:pPr>
        <w:spacing w:after="0" w:line="50" w:lineRule="exact"/>
        <w:rPr>
          <w:sz w:val="20"/>
          <w:szCs w:val="20"/>
          <w:color w:val="auto"/>
        </w:rPr>
      </w:pPr>
    </w:p>
    <w:p>
      <w:pPr>
        <w:ind w:left="117" w:right="300" w:firstLine="692"/>
        <w:spacing w:after="0" w:line="258" w:lineRule="auto"/>
        <w:rPr>
          <w:sz w:val="20"/>
          <w:szCs w:val="20"/>
          <w:color w:val="auto"/>
        </w:rPr>
      </w:pPr>
      <w:r>
        <w:rPr>
          <w:rFonts w:ascii="Times New Roman" w:cs="Times New Roman" w:eastAsia="Times New Roman" w:hAnsi="Times New Roman"/>
          <w:sz w:val="22"/>
          <w:szCs w:val="22"/>
          <w:u w:val="single" w:color="auto"/>
          <w:color w:val="auto"/>
        </w:rPr>
        <w:t>“Reportable Security”</w:t>
      </w:r>
      <w:r>
        <w:rPr>
          <w:rFonts w:ascii="Times New Roman" w:cs="Times New Roman" w:eastAsia="Times New Roman" w:hAnsi="Times New Roman"/>
          <w:sz w:val="22"/>
          <w:szCs w:val="22"/>
          <w:color w:val="auto"/>
        </w:rPr>
        <w:t xml:space="preserve"> means every Security and Reportable Fund in which an Access Person or a Related Person has a Beneficial Ownership or other Beneficial Interest, except for an Exempt Security.</w:t>
      </w:r>
    </w:p>
    <w:p>
      <w:pPr>
        <w:spacing w:after="0" w:line="50" w:lineRule="exact"/>
        <w:rPr>
          <w:sz w:val="20"/>
          <w:szCs w:val="20"/>
          <w:color w:val="auto"/>
        </w:rPr>
      </w:pPr>
    </w:p>
    <w:p>
      <w:pPr>
        <w:ind w:left="797"/>
        <w:spacing w:after="0"/>
        <w:rPr>
          <w:sz w:val="20"/>
          <w:szCs w:val="20"/>
          <w:color w:val="auto"/>
        </w:rPr>
      </w:pPr>
      <w:r>
        <w:rPr>
          <w:rFonts w:ascii="Times New Roman" w:cs="Times New Roman" w:eastAsia="Times New Roman" w:hAnsi="Times New Roman"/>
          <w:sz w:val="22"/>
          <w:szCs w:val="22"/>
          <w:u w:val="single" w:color="auto"/>
          <w:color w:val="auto"/>
        </w:rPr>
        <w:t>“Security”</w:t>
      </w:r>
      <w:r>
        <w:rPr>
          <w:rFonts w:ascii="Times New Roman" w:cs="Times New Roman" w:eastAsia="Times New Roman" w:hAnsi="Times New Roman"/>
          <w:sz w:val="22"/>
          <w:szCs w:val="22"/>
          <w:color w:val="auto"/>
        </w:rPr>
        <w:t xml:space="preserve"> or “Securities” means any note, stock, treasury stock, bond, debenture, Blockchain ETFs,</w:t>
      </w:r>
    </w:p>
    <w:p>
      <w:pPr>
        <w:spacing w:after="0" w:line="35" w:lineRule="exact"/>
        <w:rPr>
          <w:sz w:val="20"/>
          <w:szCs w:val="20"/>
          <w:color w:val="auto"/>
        </w:rPr>
      </w:pPr>
    </w:p>
    <w:p>
      <w:pPr>
        <w:jc w:val="both"/>
        <w:ind w:left="117"/>
        <w:spacing w:after="0" w:line="228" w:lineRule="auto"/>
        <w:rPr>
          <w:sz w:val="20"/>
          <w:szCs w:val="20"/>
          <w:color w:val="auto"/>
        </w:rPr>
      </w:pPr>
      <w:r>
        <w:rPr>
          <w:rFonts w:ascii="Times New Roman" w:cs="Times New Roman" w:eastAsia="Times New Roman" w:hAnsi="Times New Roman"/>
          <w:sz w:val="22"/>
          <w:szCs w:val="22"/>
          <w:color w:val="auto"/>
        </w:rPr>
        <w:t>evidence of indebtedness</w:t>
      </w: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22"/>
          <w:szCs w:val="22"/>
          <w:color w:val="auto"/>
        </w:rPr>
        <w:t>, certificate of interest or participation in any profit-sharing agreement, collateral-trust certificate, reorganization certificate or subscription, transferable share, investment contract, voting trust certificate, fractional undivided interest in oil, gas or other mineral rights, any put, call, straddle, option or privilege on any security or on any group or index of securities (including any interest therein or based on the value thereof), or a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73" w:lineRule="exact"/>
        <w:rPr>
          <w:sz w:val="20"/>
          <w:szCs w:val="20"/>
          <w:color w:val="auto"/>
        </w:rPr>
      </w:pPr>
    </w:p>
    <w:p>
      <w:pPr>
        <w:ind w:left="797"/>
        <w:spacing w:after="0"/>
        <w:rPr>
          <w:sz w:val="20"/>
          <w:szCs w:val="20"/>
          <w:color w:val="auto"/>
        </w:rPr>
      </w:pPr>
      <w:r>
        <w:rPr>
          <w:rFonts w:ascii="Times New Roman" w:cs="Times New Roman" w:eastAsia="Times New Roman" w:hAnsi="Times New Roman"/>
          <w:sz w:val="22"/>
          <w:szCs w:val="22"/>
          <w:color w:val="auto"/>
        </w:rPr>
        <w:t>Note that Security has a different definition for purposes of the Inside Information Policy of the Code.</w:t>
      </w:r>
    </w:p>
    <w:p>
      <w:pPr>
        <w:spacing w:after="0" w:line="94" w:lineRule="exact"/>
        <w:rPr>
          <w:sz w:val="20"/>
          <w:szCs w:val="20"/>
          <w:color w:val="auto"/>
        </w:rPr>
      </w:pPr>
    </w:p>
    <w:p>
      <w:pPr>
        <w:ind w:left="797" w:hanging="687"/>
        <w:spacing w:after="0"/>
        <w:tabs>
          <w:tab w:leader="none" w:pos="797"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PRECLEARANCE AND REPORTING REQUIREMENTS</w:t>
      </w:r>
    </w:p>
    <w:p>
      <w:pPr>
        <w:spacing w:after="0" w:line="210" w:lineRule="exact"/>
        <w:rPr>
          <w:sz w:val="20"/>
          <w:szCs w:val="20"/>
          <w:color w:val="auto"/>
        </w:rPr>
      </w:pPr>
    </w:p>
    <w:p>
      <w:pPr>
        <w:jc w:val="both"/>
        <w:ind w:left="117" w:firstLine="692"/>
        <w:spacing w:after="0" w:line="244" w:lineRule="auto"/>
        <w:rPr>
          <w:sz w:val="20"/>
          <w:szCs w:val="20"/>
          <w:color w:val="auto"/>
        </w:rPr>
      </w:pPr>
      <w:r>
        <w:rPr>
          <w:rFonts w:ascii="Times New Roman" w:cs="Times New Roman" w:eastAsia="Times New Roman" w:hAnsi="Times New Roman"/>
          <w:sz w:val="22"/>
          <w:szCs w:val="22"/>
          <w:color w:val="auto"/>
        </w:rPr>
        <w:t>Under the Advisers Act and the Company Act, OFS Adviser and each OFS Fund are required to keep records of transactions in Reportable Securities in which Access Persons have Beneficial Ownership or a direct or indirect Beneficial Interest.</w:t>
      </w:r>
    </w:p>
    <w:p>
      <w:pPr>
        <w:spacing w:after="0" w:line="65" w:lineRule="exact"/>
        <w:rPr>
          <w:sz w:val="20"/>
          <w:szCs w:val="20"/>
          <w:color w:val="auto"/>
        </w:rPr>
      </w:pPr>
    </w:p>
    <w:p>
      <w:pPr>
        <w:jc w:val="both"/>
        <w:ind w:left="117" w:firstLine="692"/>
        <w:spacing w:after="0" w:line="234" w:lineRule="auto"/>
        <w:rPr>
          <w:sz w:val="20"/>
          <w:szCs w:val="20"/>
          <w:color w:val="auto"/>
        </w:rPr>
      </w:pPr>
      <w:r>
        <w:rPr>
          <w:rFonts w:ascii="Times New Roman" w:cs="Times New Roman" w:eastAsia="Times New Roman" w:hAnsi="Times New Roman"/>
          <w:sz w:val="22"/>
          <w:szCs w:val="22"/>
          <w:color w:val="auto"/>
        </w:rPr>
        <w:t>In most cases, determining whether an Access Person or his or her Related Person has Beneficial Ownership of, or a Beneficial Interest in the Reportable Securities held in an account (which would make such account an Affiliated Account for purposes hereof) is a straight-forward process. It is, however, important to note that, in some cases, an owner of an equity interest in an entity may be considered to have Beneficial Ownership of the assets of that entity. In general, equity holders are not deemed to have Beneficial Ownership of Securities held by an entity that is not “controlled” by the equity holders or in which the equity holders do not have or share investment control over the entity’s portfolio. Because the determination of whether an equity holder controls an entity or its investment decisions can be complicated, Access Persons are encouraged to seek guidance from a Compliance Officer. To the extent such guidance is not sought, any failure by an Access Person to properly identify all Affiliated Accounts will be treated as a violation of the Code.</w:t>
      </w:r>
    </w:p>
    <w:p>
      <w:pPr>
        <w:spacing w:after="0" w:line="286" w:lineRule="exact"/>
        <w:rPr>
          <w:sz w:val="20"/>
          <w:szCs w:val="20"/>
          <w:color w:val="auto"/>
        </w:rPr>
      </w:pPr>
    </w:p>
    <w:p>
      <w:pPr>
        <w:ind w:left="-3" w:right="1820" w:firstLine="3"/>
        <w:spacing w:after="0" w:line="203" w:lineRule="auto"/>
        <w:tabs>
          <w:tab w:leader="none" w:pos="107"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Note that, for most purposes, evidences of indebtedness are treated as “Securities” for securities law purposes; insider trading prohibitions are an exception to this general rule.</w:t>
      </w:r>
    </w:p>
    <w:p>
      <w:pPr>
        <w:spacing w:after="0" w:line="280" w:lineRule="exact"/>
        <w:rPr>
          <w:sz w:val="20"/>
          <w:szCs w:val="20"/>
          <w:color w:val="auto"/>
        </w:rPr>
      </w:pPr>
    </w:p>
    <w:p>
      <w:pPr>
        <w:jc w:val="center"/>
        <w:ind w:right="-116"/>
        <w:spacing w:after="0"/>
        <w:rPr>
          <w:sz w:val="20"/>
          <w:szCs w:val="20"/>
          <w:color w:val="auto"/>
        </w:rPr>
      </w:pPr>
      <w:r>
        <w:rPr>
          <w:rFonts w:ascii="Times New Roman" w:cs="Times New Roman" w:eastAsia="Times New Roman" w:hAnsi="Times New Roman"/>
          <w:sz w:val="22"/>
          <w:szCs w:val="22"/>
          <w:color w:val="auto"/>
        </w:rPr>
        <w:t>Page -15-</w:t>
      </w:r>
    </w:p>
    <w:p>
      <w:pPr>
        <w:spacing w:after="0" w:line="44" w:lineRule="exact"/>
        <w:rPr>
          <w:sz w:val="20"/>
          <w:szCs w:val="20"/>
          <w:color w:val="auto"/>
        </w:rPr>
      </w:pPr>
    </w:p>
    <w:p>
      <w:pPr>
        <w:jc w:val="center"/>
        <w:ind w:right="-116"/>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116"/>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641350</wp:posOffset>
            </wp:positionV>
            <wp:extent cx="71831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257"/>
          </w:cols>
          <w:pgMar w:left="783" w:top="1440" w:right="878" w:bottom="1440" w:gutter="0" w:footer="0" w:header="0"/>
        </w:sectPr>
      </w:pPr>
    </w:p>
    <w:bookmarkStart w:id="85" w:name="page86"/>
    <w:bookmarkEnd w:id="85"/>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80618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4">
                      <a:extLst>
                        <a:ext uri="{28A0092B-C50C-407E-A947-70E740481C1C}"/>
                      </a:extLst>
                    </a:blip>
                    <a:srcRect/>
                    <a:stretch>
                      <a:fillRect/>
                    </a:stretch>
                  </pic:blipFill>
                  <pic:spPr bwMode="auto">
                    <a:xfrm>
                      <a:off x="0" y="0"/>
                      <a:ext cx="7162165" cy="8806180"/>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22"/>
          <w:szCs w:val="22"/>
          <w:b w:val="1"/>
          <w:bCs w:val="1"/>
          <w:color w:val="auto"/>
        </w:rPr>
        <w:t>1. Preclearance of Reportable Securities</w:t>
      </w:r>
    </w:p>
    <w:p>
      <w:pPr>
        <w:spacing w:after="0" w:line="15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Access Persons and their Related Persons must submit preclearance requests for all transactions 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Reportable Securities, subject to certain exceptions explained below, in Non-Managed Accounts:</w:t>
      </w:r>
    </w:p>
    <w:p>
      <w:pPr>
        <w:spacing w:after="0" w:line="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Reportable Securities that require preclearance include, but are not limited to, the following:</w:t>
      </w:r>
    </w:p>
    <w:p>
      <w:pPr>
        <w:spacing w:after="0" w:line="98" w:lineRule="exact"/>
        <w:rPr>
          <w:sz w:val="20"/>
          <w:szCs w:val="20"/>
          <w:color w:val="auto"/>
        </w:rPr>
      </w:pPr>
    </w:p>
    <w:p>
      <w:pPr>
        <w:ind w:left="1960" w:hanging="348"/>
        <w:spacing w:after="0"/>
        <w:tabs>
          <w:tab w:leader="none" w:pos="19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Publicly Listed Stocks</w:t>
      </w:r>
    </w:p>
    <w:p>
      <w:pPr>
        <w:spacing w:after="0" w:line="14" w:lineRule="exact"/>
        <w:rPr>
          <w:rFonts w:ascii="Times New Roman" w:cs="Times New Roman" w:eastAsia="Times New Roman" w:hAnsi="Times New Roman"/>
          <w:sz w:val="22"/>
          <w:szCs w:val="22"/>
          <w:color w:val="auto"/>
        </w:rPr>
      </w:pPr>
    </w:p>
    <w:p>
      <w:pPr>
        <w:ind w:left="1960" w:hanging="348"/>
        <w:spacing w:after="0" w:line="230" w:lineRule="auto"/>
        <w:tabs>
          <w:tab w:leader="none" w:pos="19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Traded Funds (ETFs)*</w:t>
      </w:r>
    </w:p>
    <w:p>
      <w:pPr>
        <w:ind w:left="1960" w:hanging="348"/>
        <w:spacing w:after="0" w:line="230" w:lineRule="auto"/>
        <w:tabs>
          <w:tab w:leader="none" w:pos="19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Derivatives (e.g., Options)**</w:t>
      </w:r>
    </w:p>
    <w:p>
      <w:pPr>
        <w:ind w:left="1960" w:hanging="348"/>
        <w:spacing w:after="0" w:line="230" w:lineRule="auto"/>
        <w:tabs>
          <w:tab w:leader="none" w:pos="19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Bonds and Notes</w:t>
      </w:r>
    </w:p>
    <w:p>
      <w:pPr>
        <w:ind w:left="1960" w:hanging="348"/>
        <w:spacing w:after="0" w:line="230" w:lineRule="auto"/>
        <w:tabs>
          <w:tab w:leader="none" w:pos="19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Municipal Bonds</w:t>
      </w:r>
    </w:p>
    <w:p>
      <w:pPr>
        <w:ind w:left="1960" w:hanging="348"/>
        <w:spacing w:after="0" w:line="230" w:lineRule="auto"/>
        <w:tabs>
          <w:tab w:leader="none" w:pos="19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Exchanged Traded Notes (ETNs)</w:t>
      </w:r>
    </w:p>
    <w:p>
      <w:pPr>
        <w:ind w:left="1960" w:hanging="348"/>
        <w:spacing w:after="0" w:line="230" w:lineRule="auto"/>
        <w:tabs>
          <w:tab w:leader="none" w:pos="19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 Coin Offerings (ICO) and Initial Public Offerings (IPO)</w:t>
      </w:r>
    </w:p>
    <w:p>
      <w:pPr>
        <w:ind w:left="1960" w:hanging="348"/>
        <w:spacing w:after="0" w:line="230" w:lineRule="auto"/>
        <w:tabs>
          <w:tab w:leader="none" w:pos="19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Private Placements</w:t>
      </w:r>
    </w:p>
    <w:p>
      <w:pPr>
        <w:ind w:left="1960" w:hanging="348"/>
        <w:spacing w:after="0"/>
        <w:tabs>
          <w:tab w:leader="none" w:pos="19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Affiliated Securities</w:t>
      </w:r>
    </w:p>
    <w:p>
      <w:pPr>
        <w:spacing w:after="0" w:line="7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*Exchange Traded Funds. </w:t>
      </w:r>
      <w:r>
        <w:rPr>
          <w:rFonts w:ascii="Times New Roman" w:cs="Times New Roman" w:eastAsia="Times New Roman" w:hAnsi="Times New Roman"/>
          <w:sz w:val="22"/>
          <w:szCs w:val="22"/>
          <w:color w:val="auto"/>
        </w:rPr>
        <w:t>Exchange traded funds generally require preclearance, subject to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exceptions.</w:t>
      </w:r>
    </w:p>
    <w:p>
      <w:pPr>
        <w:spacing w:after="0" w:line="177" w:lineRule="exact"/>
        <w:rPr>
          <w:sz w:val="20"/>
          <w:szCs w:val="20"/>
          <w:color w:val="auto"/>
        </w:rPr>
      </w:pPr>
    </w:p>
    <w:p>
      <w:pPr>
        <w:jc w:val="both"/>
        <w:ind w:left="580" w:right="12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Exception 1. </w:t>
      </w:r>
      <w:r>
        <w:rPr>
          <w:rFonts w:ascii="Times New Roman" w:cs="Times New Roman" w:eastAsia="Times New Roman" w:hAnsi="Times New Roman"/>
          <w:sz w:val="22"/>
          <w:szCs w:val="22"/>
          <w:color w:val="auto"/>
        </w:rPr>
        <w:t>If an ETF qualifies as a Diversified ETF at the time of the transaction,</w:t>
      </w:r>
      <w:r>
        <w:rPr>
          <w:rFonts w:ascii="Times New Roman" w:cs="Times New Roman" w:eastAsia="Times New Roman" w:hAnsi="Times New Roman"/>
          <w:sz w:val="22"/>
          <w:szCs w:val="22"/>
          <w:b w:val="1"/>
          <w:bCs w:val="1"/>
          <w:color w:val="auto"/>
        </w:rPr>
        <w:t xml:space="preserve"> it is excluded from the preclearance requirement. </w:t>
      </w:r>
      <w:r>
        <w:rPr>
          <w:rFonts w:ascii="Times New Roman" w:cs="Times New Roman" w:eastAsia="Times New Roman" w:hAnsi="Times New Roman"/>
          <w:sz w:val="22"/>
          <w:szCs w:val="22"/>
          <w:color w:val="auto"/>
        </w:rPr>
        <w:t>For the purpose of this Code, a Diversified ETF is defined as an ETF in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single underlying issuer represents 20% or more of the ETF’s total assets.</w:t>
      </w:r>
    </w:p>
    <w:p>
      <w:pPr>
        <w:spacing w:after="0" w:line="113" w:lineRule="exact"/>
        <w:rPr>
          <w:sz w:val="20"/>
          <w:szCs w:val="20"/>
          <w:color w:val="auto"/>
        </w:rPr>
      </w:pPr>
    </w:p>
    <w:p>
      <w:pPr>
        <w:jc w:val="both"/>
        <w:ind w:left="580"/>
        <w:spacing w:after="0" w:line="246" w:lineRule="auto"/>
        <w:rPr>
          <w:sz w:val="20"/>
          <w:szCs w:val="20"/>
          <w:color w:val="auto"/>
        </w:rPr>
      </w:pPr>
      <w:r>
        <w:rPr>
          <w:rFonts w:ascii="Times New Roman" w:cs="Times New Roman" w:eastAsia="Times New Roman" w:hAnsi="Times New Roman"/>
          <w:sz w:val="22"/>
          <w:szCs w:val="22"/>
          <w:i w:val="1"/>
          <w:iCs w:val="1"/>
          <w:color w:val="auto"/>
        </w:rPr>
        <w:t>For example: An ETF that tracks the S&amp;P 500 Index would be considered a Diversified ETF and is excluded from the preclearance requirement. A single stock ETF designed to track the performance of a single underlying issuer is not considered a Diversified ETF and is subject to the preclearance requirement.</w:t>
      </w:r>
    </w:p>
    <w:p>
      <w:pPr>
        <w:spacing w:after="0" w:line="113" w:lineRule="exact"/>
        <w:rPr>
          <w:sz w:val="20"/>
          <w:szCs w:val="20"/>
          <w:color w:val="auto"/>
        </w:rPr>
      </w:pPr>
    </w:p>
    <w:p>
      <w:pPr>
        <w:jc w:val="both"/>
        <w:ind w:left="58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Exception 2. </w:t>
      </w:r>
      <w:r>
        <w:rPr>
          <w:rFonts w:ascii="Times New Roman" w:cs="Times New Roman" w:eastAsia="Times New Roman" w:hAnsi="Times New Roman"/>
          <w:sz w:val="22"/>
          <w:szCs w:val="22"/>
          <w:color w:val="auto"/>
        </w:rPr>
        <w:t xml:space="preserve">If an ETF consists entirely of, or tracks its performance to, US Treasury(ies) (e.g. T-Bills, T-Notes, etc., regardless of term, as long as it is issued by the U.S. government), Cryptocurrency(ies) (e.g. Bitcoin, Ethereum, etc.) or Commodity(ies) (e.g., gold, silver, etc.), </w:t>
      </w:r>
      <w:r>
        <w:rPr>
          <w:rFonts w:ascii="Times New Roman" w:cs="Times New Roman" w:eastAsia="Times New Roman" w:hAnsi="Times New Roman"/>
          <w:sz w:val="22"/>
          <w:szCs w:val="22"/>
          <w:b w:val="1"/>
          <w:bCs w:val="1"/>
          <w:color w:val="auto"/>
        </w:rPr>
        <w:t>it is excluded from the preclearance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requirement.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 Derivatives on ETFs </w:t>
      </w:r>
      <w:r>
        <w:rPr>
          <w:rFonts w:ascii="Times New Roman" w:cs="Times New Roman" w:eastAsia="Times New Roman" w:hAnsi="Times New Roman"/>
          <w:sz w:val="22"/>
          <w:szCs w:val="22"/>
          <w:color w:val="auto"/>
        </w:rPr>
        <w:t>that meet the above exceptions are also</w:t>
      </w:r>
      <w:r>
        <w:rPr>
          <w:rFonts w:ascii="Times New Roman" w:cs="Times New Roman" w:eastAsia="Times New Roman" w:hAnsi="Times New Roman"/>
          <w:sz w:val="22"/>
          <w:szCs w:val="22"/>
          <w:b w:val="1"/>
          <w:bCs w:val="1"/>
          <w:color w:val="auto"/>
        </w:rPr>
        <w:t xml:space="preserve"> excluded from the preclearance requirement.</w:t>
      </w:r>
    </w:p>
    <w:p>
      <w:pPr>
        <w:spacing w:after="0" w:line="156" w:lineRule="exact"/>
        <w:rPr>
          <w:sz w:val="20"/>
          <w:szCs w:val="20"/>
          <w:color w:val="auto"/>
        </w:rPr>
      </w:pPr>
    </w:p>
    <w:p>
      <w:pPr>
        <w:ind w:right="860"/>
        <w:spacing w:after="0" w:line="244" w:lineRule="auto"/>
        <w:rPr>
          <w:sz w:val="20"/>
          <w:szCs w:val="20"/>
          <w:color w:val="auto"/>
        </w:rPr>
      </w:pPr>
      <w:r>
        <w:rPr>
          <w:rFonts w:ascii="Times New Roman" w:cs="Times New Roman" w:eastAsia="Times New Roman" w:hAnsi="Times New Roman"/>
          <w:sz w:val="22"/>
          <w:szCs w:val="22"/>
          <w:color w:val="auto"/>
        </w:rPr>
        <w:t>Access Persons and their Related Persons are responsible for conducting the appropriate review to determine whether an ETF or an ETF derivative qualifies for a preclearance exception. Please contact the Compliance Department with any questions.</w:t>
      </w:r>
    </w:p>
    <w:p>
      <w:pPr>
        <w:spacing w:after="0" w:line="115"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b w:val="1"/>
          <w:bCs w:val="1"/>
          <w:color w:val="auto"/>
        </w:rPr>
        <w:t>Although certain ETF and ETF derivatives are excluded from the preclearance requirement (as discussed above), they still constitute Reportable Securities. As such, transactions in and holdings of these exempt ETF and ETF derivatives must still be reported quarterly and annually, respectively, during the certification process.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addition, in-kind donations of a Reportable Security to a charitable organization require preclearance.</w:t>
      </w:r>
    </w:p>
    <w:p>
      <w:pPr>
        <w:spacing w:after="0" w:line="200" w:lineRule="exact"/>
        <w:rPr>
          <w:sz w:val="20"/>
          <w:szCs w:val="20"/>
          <w:color w:val="auto"/>
        </w:rPr>
      </w:pPr>
    </w:p>
    <w:p>
      <w:pPr>
        <w:spacing w:after="0" w:line="27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Page -16-</w:t>
      </w:r>
    </w:p>
    <w:p>
      <w:pPr>
        <w:spacing w:after="0" w:line="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641350</wp:posOffset>
            </wp:positionV>
            <wp:extent cx="71831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260"/>
          </w:cols>
          <w:pgMar w:left="900" w:top="1440" w:right="758" w:bottom="1440" w:gutter="0" w:footer="0" w:header="0"/>
        </w:sectPr>
      </w:pPr>
    </w:p>
    <w:bookmarkStart w:id="86" w:name="page87"/>
    <w:bookmarkEnd w:id="86"/>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514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6">
                      <a:extLst>
                        <a:ext uri="{28A0092B-C50C-407E-A947-70E740481C1C}"/>
                      </a:extLst>
                    </a:blip>
                    <a:srcRect/>
                    <a:stretch>
                      <a:fillRect/>
                    </a:stretch>
                  </pic:blipFill>
                  <pic:spPr bwMode="auto">
                    <a:xfrm>
                      <a:off x="0" y="0"/>
                      <a:ext cx="7162165" cy="8514715"/>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22"/>
          <w:szCs w:val="22"/>
          <w:b w:val="1"/>
          <w:bCs w:val="1"/>
          <w:color w:val="auto"/>
        </w:rPr>
        <w:t>1.1. Preclearance to Trade Reportable Securities</w:t>
      </w:r>
    </w:p>
    <w:p>
      <w:pPr>
        <w:spacing w:after="0" w:line="156" w:lineRule="exact"/>
        <w:rPr>
          <w:sz w:val="20"/>
          <w:szCs w:val="20"/>
          <w:color w:val="auto"/>
        </w:rPr>
      </w:pPr>
    </w:p>
    <w:p>
      <w:pPr>
        <w:jc w:val="both"/>
        <w:ind w:firstLine="692"/>
        <w:spacing w:after="0" w:line="235" w:lineRule="auto"/>
        <w:rPr>
          <w:sz w:val="20"/>
          <w:szCs w:val="20"/>
          <w:color w:val="auto"/>
        </w:rPr>
      </w:pPr>
      <w:r>
        <w:rPr>
          <w:rFonts w:ascii="Times New Roman" w:cs="Times New Roman" w:eastAsia="Times New Roman" w:hAnsi="Times New Roman"/>
          <w:sz w:val="22"/>
          <w:szCs w:val="22"/>
          <w:color w:val="auto"/>
        </w:rPr>
        <w:t>All Access Persons and Related Persons must submit preclearance requests for the transactions which require preclearance listed above in Section II.B.1. in Publicly Traded Reportable Securities in Non-Managed Accounts. Access Persons and their Related Persons are responsible for reviewing the list of Reportable Securities which require preclearance and determining whether their transaction requires preclearance. Preclearance requests shall be made through the Firm’s compliance portal. A record of such approval (or denial), and a brief description of the reasoning supporting such decision will be maintained in accordance with the recordkeeping requirements of the Advisers Act and the Company Act.</w:t>
      </w:r>
    </w:p>
    <w:p>
      <w:pPr>
        <w:spacing w:after="0" w:line="75" w:lineRule="exact"/>
        <w:rPr>
          <w:sz w:val="20"/>
          <w:szCs w:val="20"/>
          <w:color w:val="auto"/>
        </w:rPr>
      </w:pPr>
    </w:p>
    <w:p>
      <w:pPr>
        <w:jc w:val="both"/>
        <w:ind w:firstLine="692"/>
        <w:spacing w:after="0" w:line="238" w:lineRule="auto"/>
        <w:rPr>
          <w:sz w:val="20"/>
          <w:szCs w:val="20"/>
          <w:color w:val="auto"/>
        </w:rPr>
      </w:pPr>
      <w:r>
        <w:rPr>
          <w:rFonts w:ascii="Times New Roman" w:cs="Times New Roman" w:eastAsia="Times New Roman" w:hAnsi="Times New Roman"/>
          <w:sz w:val="22"/>
          <w:szCs w:val="22"/>
          <w:color w:val="auto"/>
        </w:rPr>
        <w:t>Preclearance authorization for publicly traded Reportable Securities noted in Section II.B.1. is effective until the next market close following the approval, unless explicitly extended or revoked by a Compliance Officer. If the approved transaction is not completed by the next close of market trading, the Access Person must submit a new pre-approval request and again receive approval from a Compliance Officer for the relevant transaction. Market close is determined by the exchange on which the security, selected by the Access Person, is traded.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example:</w:t>
      </w:r>
    </w:p>
    <w:p>
      <w:pPr>
        <w:spacing w:after="0" w:line="139" w:lineRule="exact"/>
        <w:rPr>
          <w:sz w:val="20"/>
          <w:szCs w:val="20"/>
          <w:color w:val="auto"/>
        </w:rPr>
      </w:pPr>
    </w:p>
    <w:p>
      <w:pPr>
        <w:jc w:val="both"/>
        <w:ind w:left="1260" w:hanging="340"/>
        <w:spacing w:after="0" w:line="231" w:lineRule="auto"/>
        <w:tabs>
          <w:tab w:leader="none" w:pos="1260" w:val="left"/>
        </w:tabs>
        <w:numPr>
          <w:ilvl w:val="0"/>
          <w:numId w:val="61"/>
        </w:numPr>
        <w:rPr>
          <w:rFonts w:ascii="Times New Roman" w:cs="Times New Roman" w:eastAsia="Times New Roman" w:hAnsi="Times New Roman"/>
          <w:sz w:val="25"/>
          <w:szCs w:val="25"/>
          <w:color w:val="8064A2"/>
        </w:rPr>
      </w:pPr>
      <w:r>
        <w:rPr>
          <w:rFonts w:ascii="Times New Roman" w:cs="Times New Roman" w:eastAsia="Times New Roman" w:hAnsi="Times New Roman"/>
          <w:sz w:val="22"/>
          <w:szCs w:val="22"/>
          <w:color w:val="auto"/>
        </w:rPr>
        <w:t>If a trade is approved during market trading hours, the Access or Related Person will have until market close on the same day the approval was granted to complete the trade. If the approved transaction is not completed during market hours on the same day, a new preclearance request must be submitted.</w:t>
      </w:r>
    </w:p>
    <w:p>
      <w:pPr>
        <w:spacing w:after="0" w:line="113" w:lineRule="exact"/>
        <w:rPr>
          <w:rFonts w:ascii="Times New Roman" w:cs="Times New Roman" w:eastAsia="Times New Roman" w:hAnsi="Times New Roman"/>
          <w:sz w:val="25"/>
          <w:szCs w:val="25"/>
          <w:color w:val="8064A2"/>
        </w:rPr>
      </w:pPr>
    </w:p>
    <w:p>
      <w:pPr>
        <w:ind w:left="1260" w:hanging="340"/>
        <w:spacing w:after="0" w:line="233" w:lineRule="auto"/>
        <w:tabs>
          <w:tab w:leader="none" w:pos="1260" w:val="left"/>
        </w:tabs>
        <w:numPr>
          <w:ilvl w:val="0"/>
          <w:numId w:val="61"/>
        </w:numPr>
        <w:rPr>
          <w:rFonts w:ascii="Times New Roman" w:cs="Times New Roman" w:eastAsia="Times New Roman" w:hAnsi="Times New Roman"/>
          <w:sz w:val="25"/>
          <w:szCs w:val="25"/>
          <w:color w:val="8064A2"/>
        </w:rPr>
      </w:pPr>
      <w:r>
        <w:rPr>
          <w:rFonts w:ascii="Times New Roman" w:cs="Times New Roman" w:eastAsia="Times New Roman" w:hAnsi="Times New Roman"/>
          <w:sz w:val="22"/>
          <w:szCs w:val="22"/>
          <w:color w:val="auto"/>
        </w:rPr>
        <w:t>If a trade is approved after market close, the Access or Related Person will have until market close on the following trading day to complete the trade.</w:t>
      </w:r>
    </w:p>
    <w:p>
      <w:pPr>
        <w:spacing w:after="0" w:line="69" w:lineRule="exact"/>
        <w:rPr>
          <w:sz w:val="20"/>
          <w:szCs w:val="20"/>
          <w:color w:val="auto"/>
        </w:rPr>
      </w:pPr>
    </w:p>
    <w:p>
      <w:pPr>
        <w:jc w:val="both"/>
        <w:ind w:firstLine="692"/>
        <w:spacing w:after="0" w:line="238" w:lineRule="auto"/>
        <w:rPr>
          <w:sz w:val="20"/>
          <w:szCs w:val="20"/>
          <w:color w:val="auto"/>
        </w:rPr>
      </w:pPr>
      <w:r>
        <w:rPr>
          <w:rFonts w:ascii="Times New Roman" w:cs="Times New Roman" w:eastAsia="Times New Roman" w:hAnsi="Times New Roman"/>
          <w:sz w:val="22"/>
          <w:szCs w:val="22"/>
          <w:color w:val="auto"/>
        </w:rPr>
        <w:t>Preclearance requests may be rejected for any reason a Compliance Officer deems appropriate, but requests related to personal securities trades that would violate the provisions of the Code, , including but not limited to the “Front Running,” the “Restricted List” , “Trades of OFS Funds Directors”, “Trades of OFS Funds Securities or Affiliated Securities, and Trades by Access Persons Serving on Company Board, sections below, will generally be rejected.</w:t>
      </w:r>
    </w:p>
    <w:p>
      <w:pPr>
        <w:spacing w:after="0" w:line="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1.2. Preclearance of Automated Investment Plans (“AIPs”)</w:t>
      </w:r>
    </w:p>
    <w:p>
      <w:pPr>
        <w:spacing w:after="0" w:line="156" w:lineRule="exact"/>
        <w:rPr>
          <w:sz w:val="20"/>
          <w:szCs w:val="20"/>
          <w:color w:val="auto"/>
        </w:rPr>
      </w:pPr>
    </w:p>
    <w:p>
      <w:pPr>
        <w:jc w:val="both"/>
        <w:ind w:firstLine="692"/>
        <w:spacing w:after="0" w:line="246" w:lineRule="auto"/>
        <w:rPr>
          <w:sz w:val="20"/>
          <w:szCs w:val="20"/>
          <w:color w:val="auto"/>
        </w:rPr>
      </w:pPr>
      <w:r>
        <w:rPr>
          <w:rFonts w:ascii="Times New Roman" w:cs="Times New Roman" w:eastAsia="Times New Roman" w:hAnsi="Times New Roman"/>
          <w:sz w:val="21"/>
          <w:szCs w:val="21"/>
          <w:color w:val="auto"/>
        </w:rPr>
        <w:t>All Access Persons and their Related Persons interested in contributing to automatic investments in Reportable Securities at regular intervals (“Automatic Investment Plans” or “AIPs”) must contact the Compliance Department prior to submitting an Automated Investment Plans Preclearance Form – a sample of which is attached hereto as Attachment B. Examples of AIPs include, but are not limited to, company dividend reinvestment plans/programs, direct stock purchase plans or any cash sweep that auto-invests in a Reportable Security. Access Persons may complete and submit their AIP Preclearance Form to the Compliance Department about a potential AIP after they have contacted and received initial approval by the Compliance Department. Once the AIP Preclearance Form is approved, the transactions executed as prescribed in the AIP do not need preclearance unless modified. Any modification to the AIP requires the AIP to be re-submitted to Compliance for approval. If the AIP is terminated, the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-17-</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641350</wp:posOffset>
            </wp:positionV>
            <wp:extent cx="71831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0"/>
          </w:cols>
          <w:pgMar w:left="900" w:top="1440" w:right="878" w:bottom="1440" w:gutter="0" w:footer="0" w:header="0"/>
        </w:sectPr>
      </w:pPr>
    </w:p>
    <w:bookmarkStart w:id="87" w:name="page88"/>
    <w:bookmarkEnd w:id="87"/>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0860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8">
                      <a:extLst>
                        <a:ext uri="{28A0092B-C50C-407E-A947-70E740481C1C}"/>
                      </a:extLst>
                    </a:blip>
                    <a:srcRect/>
                    <a:stretch>
                      <a:fillRect/>
                    </a:stretch>
                  </pic:blipFill>
                  <pic:spPr bwMode="auto">
                    <a:xfrm>
                      <a:off x="0" y="0"/>
                      <a:ext cx="7162165" cy="80860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Compliance Department is required to be notified.</w:t>
      </w:r>
    </w:p>
    <w:p>
      <w:pPr>
        <w:spacing w:after="0" w:line="9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Access Persons may find a copy of the AIP Preclearance Form on the Firm’s compliance portal or its intranet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site.</w:t>
      </w:r>
    </w:p>
    <w:p>
      <w:pPr>
        <w:spacing w:after="0" w:line="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1.3. Preclearance of Affiliated Securities and Investments</w:t>
      </w:r>
    </w:p>
    <w:p>
      <w:pPr>
        <w:spacing w:after="0" w:line="156" w:lineRule="exact"/>
        <w:rPr>
          <w:sz w:val="20"/>
          <w:szCs w:val="20"/>
          <w:color w:val="auto"/>
        </w:rPr>
      </w:pPr>
    </w:p>
    <w:p>
      <w:pPr>
        <w:jc w:val="both"/>
        <w:ind w:firstLine="692"/>
        <w:spacing w:after="0" w:line="246" w:lineRule="auto"/>
        <w:rPr>
          <w:sz w:val="20"/>
          <w:szCs w:val="20"/>
          <w:color w:val="auto"/>
        </w:rPr>
      </w:pPr>
      <w:r>
        <w:rPr>
          <w:rFonts w:ascii="Times New Roman" w:cs="Times New Roman" w:eastAsia="Times New Roman" w:hAnsi="Times New Roman"/>
          <w:sz w:val="21"/>
          <w:szCs w:val="21"/>
          <w:color w:val="auto"/>
        </w:rPr>
        <w:t>All Access Persons and their Related Persons must submit a preclearance request to donate or transact, whether for direct or indirect personal benefit, in Affiliated Securities, including, but not limited to, OFS Capital Corporation (OFS), OFS Credit Company, Inc. (OCCI), CIM Real Assets &amp; Credit Fund (RACR), Creative Media Community Trust Corporation (CMCT) and CIM Real Estate Finance Trust, Inc. (CMFT). Approvals to transact in or donate Affiliated Securities will generally be granted only during an open trading window. If the Affiliated Security is publicly traded, the approved transaction or contribution must be completed by the next market close following the approval, unless explicitly extended or revoked by a Compliance Officer. If such approved transaction or contribution is not completed by the close of market trading on the approval date, the Access Person must submit a new preclearance request through the Firm’s compliance portal prior to the close of any applicable trading window.</w:t>
      </w:r>
    </w:p>
    <w:p>
      <w:pPr>
        <w:spacing w:after="0" w:line="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1.4. Preclearance for Private Placements, IPOs and ICOs</w:t>
      </w:r>
    </w:p>
    <w:p>
      <w:pPr>
        <w:spacing w:after="0" w:line="156" w:lineRule="exact"/>
        <w:rPr>
          <w:sz w:val="20"/>
          <w:szCs w:val="20"/>
          <w:color w:val="auto"/>
        </w:rPr>
      </w:pPr>
    </w:p>
    <w:p>
      <w:pPr>
        <w:jc w:val="both"/>
        <w:ind w:firstLine="692"/>
        <w:spacing w:after="0" w:line="239" w:lineRule="auto"/>
        <w:rPr>
          <w:sz w:val="20"/>
          <w:szCs w:val="20"/>
          <w:color w:val="auto"/>
        </w:rPr>
      </w:pPr>
      <w:r>
        <w:rPr>
          <w:rFonts w:ascii="Times New Roman" w:cs="Times New Roman" w:eastAsia="Times New Roman" w:hAnsi="Times New Roman"/>
          <w:sz w:val="22"/>
          <w:szCs w:val="22"/>
          <w:color w:val="auto"/>
        </w:rPr>
        <w:t>All Access Persons and Related Persons must submit preclearance requests for all transactions in IPOs, ICOs and/or Private Placements from either the (i) Compliance Department; or (ii) where such Access Person is the CCO, the prior written approval of the Chief Legal Officer. Requests to make such investments shall be made through the Firm’s compliance portal.</w:t>
      </w:r>
    </w:p>
    <w:p>
      <w:pPr>
        <w:spacing w:after="0" w:line="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2.Reporting Requirements</w:t>
      </w:r>
    </w:p>
    <w:p>
      <w:pPr>
        <w:spacing w:after="0" w:line="156" w:lineRule="exact"/>
        <w:rPr>
          <w:sz w:val="20"/>
          <w:szCs w:val="20"/>
          <w:color w:val="auto"/>
        </w:rPr>
      </w:pPr>
    </w:p>
    <w:p>
      <w:pPr>
        <w:jc w:val="both"/>
        <w:ind w:firstLine="692"/>
        <w:spacing w:after="0" w:line="258" w:lineRule="auto"/>
        <w:rPr>
          <w:sz w:val="20"/>
          <w:szCs w:val="20"/>
          <w:color w:val="auto"/>
        </w:rPr>
      </w:pPr>
      <w:r>
        <w:rPr>
          <w:rFonts w:ascii="Times New Roman" w:cs="Times New Roman" w:eastAsia="Times New Roman" w:hAnsi="Times New Roman"/>
          <w:sz w:val="22"/>
          <w:szCs w:val="22"/>
          <w:color w:val="auto"/>
        </w:rPr>
        <w:t>The following personal Securities holdings and transaction reporting requirements have been adopted to enable each of OFS Adviser and each OFS Fund to satisfy their legal and regulatory requirements:</w:t>
      </w:r>
    </w:p>
    <w:p>
      <w:pPr>
        <w:spacing w:after="0" w:line="50" w:lineRule="exact"/>
        <w:rPr>
          <w:sz w:val="20"/>
          <w:szCs w:val="20"/>
          <w:color w:val="auto"/>
        </w:rPr>
      </w:pPr>
    </w:p>
    <w:p>
      <w:pPr>
        <w:jc w:val="both"/>
        <w:ind w:left="1360" w:hanging="676"/>
        <w:spacing w:after="0" w:line="236" w:lineRule="auto"/>
        <w:tabs>
          <w:tab w:leader="none" w:pos="13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calendar days from the date of commencement of employment (or other engagement or arrangement) with the Firm, every new Access Person shall submit to the Compliance Department, through the Firm’s compliance portal, the required information about any Affiliated Accounts that has the ability to hold Reportable Securities and holdings in such Reportable Securities (such information must be current as of a date no more than forty-five (45) calendar days prior to the date the person becomes an Access Person);</w:t>
      </w:r>
    </w:p>
    <w:p>
      <w:pPr>
        <w:spacing w:after="0" w:line="208" w:lineRule="exact"/>
        <w:rPr>
          <w:rFonts w:ascii="Times New Roman" w:cs="Times New Roman" w:eastAsia="Times New Roman" w:hAnsi="Times New Roman"/>
          <w:sz w:val="22"/>
          <w:szCs w:val="22"/>
          <w:color w:val="auto"/>
        </w:rPr>
      </w:pPr>
    </w:p>
    <w:p>
      <w:pPr>
        <w:jc w:val="both"/>
        <w:ind w:left="1360" w:hanging="676"/>
        <w:spacing w:after="0" w:line="238" w:lineRule="auto"/>
        <w:tabs>
          <w:tab w:leader="none" w:pos="13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sixty (60) calendar days of becoming an Access Person, every new Access Person must transfer all Non-Managed Accounts in which Reportable Securities are held or are capable of being held to a broker-dealer to which the Compliance Department has access via the Firm’s compliance portal (an “Approved Broker”). Subsequently, any new Non-Managed Accounts opened on behalf of such Access Person or his or her Related Person</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-18-</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641350</wp:posOffset>
            </wp:positionV>
            <wp:extent cx="71831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0"/>
          </w:cols>
          <w:pgMar w:left="900" w:top="1440" w:right="878" w:bottom="1440" w:gutter="0" w:footer="0" w:header="0"/>
        </w:sectPr>
      </w:pPr>
    </w:p>
    <w:bookmarkStart w:id="88" w:name="page89"/>
    <w:bookmarkEnd w:id="88"/>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20610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0">
                      <a:extLst>
                        <a:ext uri="{28A0092B-C50C-407E-A947-70E740481C1C}"/>
                      </a:extLst>
                    </a:blip>
                    <a:srcRect/>
                    <a:stretch>
                      <a:fillRect/>
                    </a:stretch>
                  </pic:blipFill>
                  <pic:spPr bwMode="auto">
                    <a:xfrm>
                      <a:off x="0" y="0"/>
                      <a:ext cx="7162165" cy="8206105"/>
                    </a:xfrm>
                    <a:prstGeom prst="rect">
                      <a:avLst/>
                    </a:prstGeom>
                    <a:noFill/>
                  </pic:spPr>
                </pic:pic>
              </a:graphicData>
            </a:graphic>
          </wp:anchor>
        </w:drawing>
      </w:r>
    </w:p>
    <w:p>
      <w:pPr>
        <w:jc w:val="both"/>
        <w:ind w:left="1360"/>
        <w:spacing w:after="0" w:line="238" w:lineRule="auto"/>
        <w:rPr>
          <w:sz w:val="20"/>
          <w:szCs w:val="20"/>
          <w:color w:val="auto"/>
        </w:rPr>
      </w:pPr>
      <w:r>
        <w:rPr>
          <w:rFonts w:ascii="Times New Roman" w:cs="Times New Roman" w:eastAsia="Times New Roman" w:hAnsi="Times New Roman"/>
          <w:sz w:val="22"/>
          <w:szCs w:val="22"/>
          <w:color w:val="auto"/>
        </w:rPr>
        <w:t>in which Reportable Securities will be held or transacted must be established with an Approved Broker. The Compliance Department maintains a list of Approved Brokers, which can be found on the Firm’s compliance portal site. Holdings and transactions in Reportable Securities in these accounts are electronically reported to the Compliance Department by the Approved Brokers through the compliance portal.</w:t>
      </w:r>
    </w:p>
    <w:p>
      <w:pPr>
        <w:spacing w:after="0" w:line="217" w:lineRule="exact"/>
        <w:rPr>
          <w:sz w:val="20"/>
          <w:szCs w:val="20"/>
          <w:color w:val="auto"/>
        </w:rPr>
      </w:pPr>
    </w:p>
    <w:p>
      <w:pPr>
        <w:ind w:left="1360" w:hanging="676"/>
        <w:spacing w:after="0" w:line="258" w:lineRule="auto"/>
        <w:tabs>
          <w:tab w:leader="none" w:pos="13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exception to the Approved Broker policy above must be approved in writing by a Compliance Officer.</w:t>
      </w:r>
    </w:p>
    <w:p>
      <w:pPr>
        <w:spacing w:after="0" w:line="131" w:lineRule="exact"/>
        <w:rPr>
          <w:rFonts w:ascii="Times New Roman" w:cs="Times New Roman" w:eastAsia="Times New Roman" w:hAnsi="Times New Roman"/>
          <w:sz w:val="22"/>
          <w:szCs w:val="22"/>
          <w:color w:val="auto"/>
        </w:rPr>
      </w:pPr>
    </w:p>
    <w:p>
      <w:pPr>
        <w:jc w:val="both"/>
        <w:ind w:left="1360" w:hanging="676"/>
        <w:spacing w:after="0" w:line="239" w:lineRule="auto"/>
        <w:tabs>
          <w:tab w:leader="none" w:pos="13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Compliance Due Date and no later than thirty (30) calendar days after each quarter end, every Access Person is required to certify all Affiliated Accounts via the Firm’s compliance portal. Any updates to an Access Person’s accounts must be reported via the Firm’s compliance portal within thirty (30) calendar days of opening or closing of such Affiliated Account.</w:t>
      </w:r>
    </w:p>
    <w:p>
      <w:pPr>
        <w:spacing w:after="0" w:line="193" w:lineRule="exact"/>
        <w:rPr>
          <w:rFonts w:ascii="Times New Roman" w:cs="Times New Roman" w:eastAsia="Times New Roman" w:hAnsi="Times New Roman"/>
          <w:sz w:val="22"/>
          <w:szCs w:val="22"/>
          <w:color w:val="auto"/>
        </w:rPr>
      </w:pPr>
    </w:p>
    <w:p>
      <w:pPr>
        <w:jc w:val="both"/>
        <w:ind w:left="1360" w:hanging="676"/>
        <w:spacing w:after="0" w:line="238" w:lineRule="auto"/>
        <w:tabs>
          <w:tab w:leader="none" w:pos="13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Compliance Due Date and no later than thirty (30) calendar days after each quarter end, every Access Person is required to certify via the Firm’s compliance portal, all transactions in Reportable Securities in Non-Managed Accounts, as recorded by the system during the quarter. Any transactions in Reportable Securities in a Non-Managed Account not included within the Firm’s compliance portal should be reported separately by the Access Person.</w:t>
      </w:r>
    </w:p>
    <w:p>
      <w:pPr>
        <w:spacing w:after="0" w:line="203" w:lineRule="exact"/>
        <w:rPr>
          <w:rFonts w:ascii="Times New Roman" w:cs="Times New Roman" w:eastAsia="Times New Roman" w:hAnsi="Times New Roman"/>
          <w:sz w:val="22"/>
          <w:szCs w:val="22"/>
          <w:color w:val="auto"/>
        </w:rPr>
      </w:pPr>
    </w:p>
    <w:p>
      <w:pPr>
        <w:jc w:val="both"/>
        <w:ind w:left="1360" w:hanging="676"/>
        <w:spacing w:after="0" w:line="235" w:lineRule="auto"/>
        <w:tabs>
          <w:tab w:leader="none" w:pos="13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Compliance Due Date and no later than forty-five (45) calendar days following the end of each calendar year (i.e., February 14), every Access Person is required to certify, via the Firm’s compliance portal, such Access Person’s and their Related Persons’ holdings of Reportable Securities in Non-Managed Affiliated Accounts as of year- end, including Reportable Securities holdings held in Automatic Investment Plans. Any holdings in Reportable Securities in a Non-Managed Account or an Automated Investment Plan, not already reflected within the Firm’s compliance portal, should be reported separately by the Access Person.</w:t>
      </w:r>
    </w:p>
    <w:p>
      <w:pPr>
        <w:spacing w:after="0" w:line="3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3.Managed Accounts</w:t>
      </w:r>
    </w:p>
    <w:p>
      <w:pPr>
        <w:spacing w:after="0" w:line="156" w:lineRule="exact"/>
        <w:rPr>
          <w:sz w:val="20"/>
          <w:szCs w:val="20"/>
          <w:color w:val="auto"/>
        </w:rPr>
      </w:pPr>
    </w:p>
    <w:p>
      <w:pPr>
        <w:jc w:val="both"/>
        <w:ind w:firstLine="692"/>
        <w:spacing w:after="0" w:line="235" w:lineRule="auto"/>
        <w:rPr>
          <w:sz w:val="20"/>
          <w:szCs w:val="20"/>
          <w:color w:val="auto"/>
        </w:rPr>
      </w:pPr>
      <w:r>
        <w:rPr>
          <w:rFonts w:ascii="Times New Roman" w:cs="Times New Roman" w:eastAsia="Times New Roman" w:hAnsi="Times New Roman"/>
          <w:sz w:val="22"/>
          <w:szCs w:val="22"/>
          <w:color w:val="auto"/>
        </w:rPr>
        <w:t>The Firm recognizes that it may be impossible or impractical for accounts that are controlled or invested on a fully discretionary basis by a third party, such as an investment adviser or broker (“Managed Accounts”), to comply with the Preclearance and Reporting Requirements section and Statement of Restrictions section of the Code. Therefore, Managed Accounts are exempted from such procedures, provided that the Access Person cedes any and all control over investment decisions for the account (other than general asset class and objectives guidelines) to such third party and does not communicate with such person with respect to individual transactions for the account. Special rules apply with respect to whether an Access Person “controls” the investment decisions of an entity in which he or she invests; guidance from a Compliance Officer should be sought in such instances.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-19-</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641350</wp:posOffset>
            </wp:positionV>
            <wp:extent cx="71831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0"/>
          </w:cols>
          <w:pgMar w:left="900" w:top="1440" w:right="878" w:bottom="1440" w:gutter="0" w:footer="0" w:header="0"/>
        </w:sectPr>
      </w:pPr>
    </w:p>
    <w:bookmarkStart w:id="89" w:name="page90"/>
    <w:bookmarkEnd w:id="89"/>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2575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2">
                      <a:extLst>
                        <a:ext uri="{28A0092B-C50C-407E-A947-70E740481C1C}"/>
                      </a:extLst>
                    </a:blip>
                    <a:srcRect/>
                    <a:stretch>
                      <a:fillRect/>
                    </a:stretch>
                  </pic:blipFill>
                  <pic:spPr bwMode="auto">
                    <a:xfrm>
                      <a:off x="0" y="0"/>
                      <a:ext cx="7162165" cy="8257540"/>
                    </a:xfrm>
                    <a:prstGeom prst="rect">
                      <a:avLst/>
                    </a:prstGeom>
                    <a:noFill/>
                  </pic:spPr>
                </pic:pic>
              </a:graphicData>
            </a:graphic>
          </wp:anchor>
        </w:drawing>
      </w:r>
    </w:p>
    <w:p>
      <w:pPr>
        <w:jc w:val="both"/>
        <w:ind w:left="7" w:firstLine="692"/>
        <w:spacing w:after="0" w:line="246" w:lineRule="auto"/>
        <w:rPr>
          <w:sz w:val="20"/>
          <w:szCs w:val="20"/>
          <w:color w:val="auto"/>
        </w:rPr>
      </w:pPr>
      <w:r>
        <w:rPr>
          <w:rFonts w:ascii="Times New Roman" w:cs="Times New Roman" w:eastAsia="Times New Roman" w:hAnsi="Times New Roman"/>
          <w:sz w:val="21"/>
          <w:szCs w:val="21"/>
          <w:color w:val="auto"/>
        </w:rPr>
        <w:t>The Firm requires that general information regarding Managed Accounts, including broker, account title, account number, and the status of the account, be reported through the Firm’s compliance portal. In order to properly establish a Managed Account, the Access Persons is required to provide to the Compliance Department evidence that full investment discretion has been provided to the third-party investment adviser or broker (e.g., provide the investment management agreement or a letter from the investment adviser/broker attesting that it has full investment discretion over the Access Persons’ or their Related Persons’ account). Upon establishing a Managed Account in the Firm’s compliance portal and quarterly thereafter, the Access Person is required to certify within the Firm’s compliance portal that he or she does not participate, directly or indirectly in individual investment decisions in the Managed Account or be made aware of such decisions before transactions are executed.</w:t>
      </w:r>
    </w:p>
    <w:p>
      <w:pPr>
        <w:spacing w:after="0" w:line="63" w:lineRule="exact"/>
        <w:rPr>
          <w:sz w:val="20"/>
          <w:szCs w:val="20"/>
          <w:color w:val="auto"/>
        </w:rPr>
      </w:pPr>
    </w:p>
    <w:p>
      <w:pPr>
        <w:ind w:left="687"/>
        <w:spacing w:after="0"/>
        <w:rPr>
          <w:sz w:val="20"/>
          <w:szCs w:val="20"/>
          <w:color w:val="auto"/>
        </w:rPr>
      </w:pPr>
      <w:r>
        <w:rPr>
          <w:rFonts w:ascii="Times New Roman" w:cs="Times New Roman" w:eastAsia="Times New Roman" w:hAnsi="Times New Roman"/>
          <w:sz w:val="22"/>
          <w:szCs w:val="22"/>
          <w:b w:val="1"/>
          <w:bCs w:val="1"/>
          <w:color w:val="auto"/>
        </w:rPr>
        <w:t>4.Non-Transferable Accounts</w:t>
      </w:r>
    </w:p>
    <w:p>
      <w:pPr>
        <w:spacing w:after="0" w:line="156" w:lineRule="exact"/>
        <w:rPr>
          <w:sz w:val="20"/>
          <w:szCs w:val="20"/>
          <w:color w:val="auto"/>
        </w:rPr>
      </w:pPr>
    </w:p>
    <w:p>
      <w:pPr>
        <w:jc w:val="both"/>
        <w:ind w:left="7" w:firstLine="692"/>
        <w:spacing w:after="0" w:line="235" w:lineRule="auto"/>
        <w:rPr>
          <w:sz w:val="20"/>
          <w:szCs w:val="20"/>
          <w:color w:val="auto"/>
        </w:rPr>
      </w:pPr>
      <w:r>
        <w:rPr>
          <w:rFonts w:ascii="Times New Roman" w:cs="Times New Roman" w:eastAsia="Times New Roman" w:hAnsi="Times New Roman"/>
          <w:sz w:val="22"/>
          <w:szCs w:val="22"/>
          <w:color w:val="auto"/>
        </w:rPr>
        <w:t>The Firm recognizes that it may be impossible or impracticable for certain types of Non- Managed Accounts (e.g. 401(k) accounts) of Access Persons or their Related Persons with other employers, or an account pledged to secure a personal loan, etc. to be transferred to an Approved Broker. A Compliance Officer may exempt any such Non-Managed Account from the Approved Broker procedures set forth above provided that the Access Person shall be responsible for reporting transactions and holdings of Reportable Securities (e.g. employer shares) in such account as set forth above and complying with the Statement of Restrictions section of the Code with respect to such Non-Managed Accounts.</w:t>
      </w:r>
    </w:p>
    <w:p>
      <w:pPr>
        <w:spacing w:after="0" w:line="75" w:lineRule="exact"/>
        <w:rPr>
          <w:sz w:val="20"/>
          <w:szCs w:val="20"/>
          <w:color w:val="auto"/>
        </w:rPr>
      </w:pPr>
    </w:p>
    <w:p>
      <w:pPr>
        <w:jc w:val="both"/>
        <w:ind w:left="7" w:firstLine="692"/>
        <w:spacing w:after="0" w:line="238" w:lineRule="auto"/>
        <w:rPr>
          <w:sz w:val="20"/>
          <w:szCs w:val="20"/>
          <w:color w:val="auto"/>
        </w:rPr>
      </w:pPr>
      <w:r>
        <w:rPr>
          <w:rFonts w:ascii="Times New Roman" w:cs="Times New Roman" w:eastAsia="Times New Roman" w:hAnsi="Times New Roman"/>
          <w:sz w:val="22"/>
          <w:szCs w:val="22"/>
          <w:color w:val="auto"/>
        </w:rPr>
        <w:t>The Firm requires that all such “non-transferable” Non-Managed Accounts be reported to the Compliance Department so that an exemption may properly be granted. General information regarding such accounts must be reported through the Firm’s compliance portal. A Compliance Officer may, as a condition to exempting such Affiliated Accounts, require, initially and periodically thereafter, copies of account statements, a certification from the Access Person, or such other information as such Compliance Officer deems prudent.</w:t>
      </w:r>
    </w:p>
    <w:p>
      <w:pPr>
        <w:spacing w:after="0" w:line="65" w:lineRule="exact"/>
        <w:rPr>
          <w:sz w:val="20"/>
          <w:szCs w:val="20"/>
          <w:color w:val="auto"/>
        </w:rPr>
      </w:pPr>
    </w:p>
    <w:p>
      <w:pPr>
        <w:ind w:left="687"/>
        <w:spacing w:after="0"/>
        <w:rPr>
          <w:sz w:val="20"/>
          <w:szCs w:val="20"/>
          <w:color w:val="auto"/>
        </w:rPr>
      </w:pPr>
      <w:r>
        <w:rPr>
          <w:rFonts w:ascii="Times New Roman" w:cs="Times New Roman" w:eastAsia="Times New Roman" w:hAnsi="Times New Roman"/>
          <w:sz w:val="22"/>
          <w:szCs w:val="22"/>
          <w:b w:val="1"/>
          <w:bCs w:val="1"/>
          <w:color w:val="auto"/>
        </w:rPr>
        <w:t>5.Transactions Subject to Review</w:t>
      </w:r>
    </w:p>
    <w:p>
      <w:pPr>
        <w:spacing w:after="0" w:line="156" w:lineRule="exact"/>
        <w:rPr>
          <w:sz w:val="20"/>
          <w:szCs w:val="20"/>
          <w:color w:val="auto"/>
        </w:rPr>
      </w:pPr>
    </w:p>
    <w:p>
      <w:pPr>
        <w:jc w:val="both"/>
        <w:ind w:left="7" w:firstLine="692"/>
        <w:spacing w:after="0" w:line="238" w:lineRule="auto"/>
        <w:rPr>
          <w:sz w:val="20"/>
          <w:szCs w:val="20"/>
          <w:color w:val="auto"/>
        </w:rPr>
      </w:pPr>
      <w:r>
        <w:rPr>
          <w:rFonts w:ascii="Times New Roman" w:cs="Times New Roman" w:eastAsia="Times New Roman" w:hAnsi="Times New Roman"/>
          <w:sz w:val="22"/>
          <w:szCs w:val="22"/>
          <w:color w:val="auto"/>
        </w:rPr>
        <w:t>Transactions and holding information reported via the Firm’s compliance portal will be reviewed by a Compliance Officer and compared against the investments made or considered by each of the Advisory Clients. Such review and comparison are designed to evaluate compliance with the Code and, further, to determine whether there have been any violations of applicable law. Reporting made by a Compliance Officer is reviewed by a different Compliance Officer so that no Compliance Officer is reviewing his or her own reporting.</w:t>
      </w:r>
    </w:p>
    <w:p>
      <w:pPr>
        <w:spacing w:after="0" w:line="65" w:lineRule="exact"/>
        <w:rPr>
          <w:sz w:val="20"/>
          <w:szCs w:val="20"/>
          <w:color w:val="auto"/>
        </w:rPr>
      </w:pPr>
    </w:p>
    <w:p>
      <w:pPr>
        <w:ind w:left="687" w:hanging="687"/>
        <w:spacing w:after="0"/>
        <w:tabs>
          <w:tab w:leader="none" w:pos="687"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STATEMENT OF RESTRICTIONS</w:t>
      </w:r>
    </w:p>
    <w:p>
      <w:pPr>
        <w:spacing w:after="0" w:line="206" w:lineRule="exact"/>
        <w:rPr>
          <w:sz w:val="20"/>
          <w:szCs w:val="20"/>
          <w:color w:val="auto"/>
        </w:rPr>
      </w:pPr>
    </w:p>
    <w:p>
      <w:pPr>
        <w:ind w:left="1267" w:hanging="686"/>
        <w:spacing w:after="0"/>
        <w:tabs>
          <w:tab w:leader="none" w:pos="1267"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“Front Running”</w:t>
      </w:r>
    </w:p>
    <w:p>
      <w:pPr>
        <w:spacing w:after="0" w:line="156" w:lineRule="exact"/>
        <w:rPr>
          <w:sz w:val="20"/>
          <w:szCs w:val="20"/>
          <w:color w:val="auto"/>
        </w:rPr>
      </w:pPr>
    </w:p>
    <w:p>
      <w:pPr>
        <w:jc w:val="both"/>
        <w:ind w:left="7" w:firstLine="692"/>
        <w:spacing w:after="0" w:line="244" w:lineRule="auto"/>
        <w:rPr>
          <w:sz w:val="20"/>
          <w:szCs w:val="20"/>
          <w:color w:val="auto"/>
        </w:rPr>
      </w:pPr>
      <w:r>
        <w:rPr>
          <w:rFonts w:ascii="Times New Roman" w:cs="Times New Roman" w:eastAsia="Times New Roman" w:hAnsi="Times New Roman"/>
          <w:sz w:val="22"/>
          <w:szCs w:val="22"/>
          <w:color w:val="auto"/>
        </w:rPr>
        <w:t>Front running is the illegal practice of trading in a Security based on advance non-public information. A personal trade in Securities (“Personal Securities Trade”), based on material nonpublic information or with advance knowledge of an anticipated OFS Advisory Client trade in the Security</w:t>
      </w:r>
    </w:p>
    <w:p>
      <w:pPr>
        <w:spacing w:after="0" w:line="200" w:lineRule="exact"/>
        <w:rPr>
          <w:sz w:val="20"/>
          <w:szCs w:val="20"/>
          <w:color w:val="auto"/>
        </w:rPr>
      </w:pPr>
    </w:p>
    <w:p>
      <w:pPr>
        <w:spacing w:after="0" w:line="24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Page -20-</w:t>
      </w:r>
    </w:p>
    <w:p>
      <w:pPr>
        <w:spacing w:after="0" w:line="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641350</wp:posOffset>
            </wp:positionV>
            <wp:extent cx="71831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7"/>
          </w:cols>
          <w:pgMar w:left="893" w:top="1440" w:right="878" w:bottom="1440" w:gutter="0" w:footer="0" w:header="0"/>
        </w:sectPr>
      </w:pPr>
    </w:p>
    <w:bookmarkStart w:id="90" w:name="page91"/>
    <w:bookmarkEnd w:id="90"/>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36866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4">
                      <a:extLst>
                        <a:ext uri="{28A0092B-C50C-407E-A947-70E740481C1C}"/>
                      </a:extLst>
                    </a:blip>
                    <a:srcRect/>
                    <a:stretch>
                      <a:fillRect/>
                    </a:stretch>
                  </pic:blipFill>
                  <pic:spPr bwMode="auto">
                    <a:xfrm>
                      <a:off x="0" y="0"/>
                      <a:ext cx="7162165" cy="8368665"/>
                    </a:xfrm>
                    <a:prstGeom prst="rect">
                      <a:avLst/>
                    </a:prstGeom>
                    <a:noFill/>
                  </pic:spPr>
                </pic:pic>
              </a:graphicData>
            </a:graphic>
          </wp:anchor>
        </w:drawing>
      </w:r>
    </w:p>
    <w:p>
      <w:pPr>
        <w:jc w:val="both"/>
        <w:spacing w:after="0" w:line="244" w:lineRule="auto"/>
        <w:rPr>
          <w:sz w:val="20"/>
          <w:szCs w:val="20"/>
          <w:color w:val="auto"/>
        </w:rPr>
      </w:pPr>
      <w:r>
        <w:rPr>
          <w:rFonts w:ascii="Times New Roman" w:cs="Times New Roman" w:eastAsia="Times New Roman" w:hAnsi="Times New Roman"/>
          <w:sz w:val="22"/>
          <w:szCs w:val="22"/>
          <w:color w:val="auto"/>
        </w:rPr>
        <w:t>contemplated for personal trading, is prohibited. Unless specifically permitted within this Code and excluding Exempt Securities, no Access Person or Related Person may execute a Personal Securities Trade in a Non-Managed Account in a security if OFS Adviser (on behalf of its Advisory Clients):</w:t>
      </w:r>
    </w:p>
    <w:p>
      <w:pPr>
        <w:spacing w:after="0" w:line="322" w:lineRule="exact"/>
        <w:rPr>
          <w:sz w:val="20"/>
          <w:szCs w:val="20"/>
          <w:color w:val="auto"/>
        </w:rPr>
      </w:pPr>
    </w:p>
    <w:p>
      <w:pPr>
        <w:ind w:left="1420" w:hanging="680"/>
        <w:spacing w:after="0"/>
        <w:tabs>
          <w:tab w:leader="none" w:pos="142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 pending buy or sell order in the same specific security;</w:t>
      </w:r>
    </w:p>
    <w:p>
      <w:pPr>
        <w:spacing w:after="0" w:line="98" w:lineRule="exact"/>
        <w:rPr>
          <w:rFonts w:ascii="Times New Roman" w:cs="Times New Roman" w:eastAsia="Times New Roman" w:hAnsi="Times New Roman"/>
          <w:sz w:val="22"/>
          <w:szCs w:val="22"/>
          <w:color w:val="auto"/>
        </w:rPr>
      </w:pPr>
    </w:p>
    <w:p>
      <w:pPr>
        <w:ind w:left="1420" w:hanging="680"/>
        <w:spacing w:after="0" w:line="258" w:lineRule="auto"/>
        <w:tabs>
          <w:tab w:leader="none" w:pos="142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bought or sold the same specific security within five (5) business days before or after the Access Person or Related Person’s potential Personal Securities Trade; or</w:t>
      </w:r>
    </w:p>
    <w:p>
      <w:pPr>
        <w:spacing w:after="0" w:line="50" w:lineRule="exact"/>
        <w:rPr>
          <w:rFonts w:ascii="Times New Roman" w:cs="Times New Roman" w:eastAsia="Times New Roman" w:hAnsi="Times New Roman"/>
          <w:sz w:val="22"/>
          <w:szCs w:val="22"/>
          <w:color w:val="auto"/>
        </w:rPr>
      </w:pPr>
    </w:p>
    <w:p>
      <w:pPr>
        <w:jc w:val="both"/>
        <w:ind w:left="1420" w:hanging="680"/>
        <w:spacing w:after="0" w:line="244" w:lineRule="auto"/>
        <w:tabs>
          <w:tab w:leader="none" w:pos="142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considering a purchase or sale of the same specific security in the next </w:t>
      </w:r>
      <w:r>
        <w:rPr>
          <w:rFonts w:ascii="Times New Roman" w:cs="Times New Roman" w:eastAsia="Times New Roman" w:hAnsi="Times New Roman"/>
          <w:sz w:val="22"/>
          <w:szCs w:val="22"/>
          <w:u w:val="single" w:color="auto"/>
          <w:color w:val="auto"/>
        </w:rPr>
        <w:t>five</w:t>
      </w:r>
      <w:r>
        <w:rPr>
          <w:rFonts w:ascii="Times New Roman" w:cs="Times New Roman" w:eastAsia="Times New Roman" w:hAnsi="Times New Roman"/>
          <w:sz w:val="22"/>
          <w:szCs w:val="22"/>
          <w:color w:val="auto"/>
        </w:rPr>
        <w:t xml:space="preserve"> (5) business days. OFS Adviser is deemed to be </w:t>
      </w:r>
      <w:r>
        <w:rPr>
          <w:rFonts w:ascii="Times New Roman" w:cs="Times New Roman" w:eastAsia="Times New Roman" w:hAnsi="Times New Roman"/>
          <w:sz w:val="22"/>
          <w:szCs w:val="22"/>
          <w:i w:val="1"/>
          <w:iCs w:val="1"/>
          <w:color w:val="auto"/>
        </w:rPr>
        <w:t>considering</w:t>
      </w:r>
      <w:r>
        <w:rPr>
          <w:rFonts w:ascii="Times New Roman" w:cs="Times New Roman" w:eastAsia="Times New Roman" w:hAnsi="Times New Roman"/>
          <w:sz w:val="22"/>
          <w:szCs w:val="22"/>
          <w:color w:val="auto"/>
        </w:rPr>
        <w:t xml:space="preserve"> a purchase or sale when a recommendation to purchase or sell a security has been made known, and/or communicated by the Investment Department.</w:t>
      </w:r>
    </w:p>
    <w:p>
      <w:pPr>
        <w:spacing w:after="0" w:line="115" w:lineRule="exact"/>
        <w:rPr>
          <w:rFonts w:ascii="Times New Roman" w:cs="Times New Roman" w:eastAsia="Times New Roman" w:hAnsi="Times New Roman"/>
          <w:sz w:val="22"/>
          <w:szCs w:val="22"/>
          <w:color w:val="auto"/>
        </w:rPr>
      </w:pPr>
    </w:p>
    <w:p>
      <w:pPr>
        <w:ind w:left="1260" w:hanging="686"/>
        <w:spacing w:after="0"/>
        <w:tabs>
          <w:tab w:leader="none" w:pos="126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Restricted List</w:t>
      </w:r>
    </w:p>
    <w:p>
      <w:pPr>
        <w:spacing w:after="0" w:line="156" w:lineRule="exact"/>
        <w:rPr>
          <w:sz w:val="20"/>
          <w:szCs w:val="20"/>
          <w:color w:val="auto"/>
        </w:rPr>
      </w:pPr>
    </w:p>
    <w:p>
      <w:pPr>
        <w:jc w:val="both"/>
        <w:ind w:firstLine="692"/>
        <w:spacing w:after="0" w:line="235" w:lineRule="auto"/>
        <w:rPr>
          <w:sz w:val="20"/>
          <w:szCs w:val="20"/>
          <w:color w:val="auto"/>
        </w:rPr>
      </w:pPr>
      <w:r>
        <w:rPr>
          <w:rFonts w:ascii="Times New Roman" w:cs="Times New Roman" w:eastAsia="Times New Roman" w:hAnsi="Times New Roman"/>
          <w:sz w:val="22"/>
          <w:szCs w:val="22"/>
          <w:color w:val="auto"/>
        </w:rPr>
        <w:t>No Access Person or Related Person may make a Personal Securities Trade in any Non-Managed Account or place a bet or contract on a Prediction Market related to the Securities of an issuer, a Security whose performance tracks the performance of an issuer (e.g., single stock ETF) or Security that derives its value from the value of an issuer (e.g., futures, options, forwards and swaps) listed on the Firm’s Restricted List. The Restricted List is not published for Access Persons to review, but all pre-clearance requests for Securities, issuers or underlying issuers of which a Security tracks or derives its performance that are currently on the Firm’s Restricted List will be rejected, regardless of trading size.</w:t>
      </w:r>
    </w:p>
    <w:p>
      <w:pPr>
        <w:spacing w:after="0" w:line="75" w:lineRule="exact"/>
        <w:rPr>
          <w:sz w:val="20"/>
          <w:szCs w:val="20"/>
          <w:color w:val="auto"/>
        </w:rPr>
      </w:pPr>
    </w:p>
    <w:p>
      <w:pPr>
        <w:jc w:val="both"/>
        <w:ind w:firstLine="692"/>
        <w:spacing w:after="0" w:line="239" w:lineRule="auto"/>
        <w:rPr>
          <w:sz w:val="20"/>
          <w:szCs w:val="20"/>
          <w:color w:val="auto"/>
        </w:rPr>
      </w:pPr>
      <w:r>
        <w:rPr>
          <w:rFonts w:ascii="Times New Roman" w:cs="Times New Roman" w:eastAsia="Times New Roman" w:hAnsi="Times New Roman"/>
          <w:sz w:val="22"/>
          <w:szCs w:val="22"/>
          <w:color w:val="auto"/>
        </w:rPr>
        <w:t>The Firm may place an issuer or Security on the Restricted List at any time without prior notice to Access Persons. Therefore, Access Persons or Related Persons who obtain Securities of an issuer that is later placed on the Restricted List may be “frozen in,” or prohibited from disposing of such Securities, until the issuer has been removed from the Restricted List.</w:t>
      </w:r>
    </w:p>
    <w:p>
      <w:pPr>
        <w:spacing w:after="0" w:line="72" w:lineRule="exact"/>
        <w:rPr>
          <w:sz w:val="20"/>
          <w:szCs w:val="20"/>
          <w:color w:val="auto"/>
        </w:rPr>
      </w:pPr>
    </w:p>
    <w:p>
      <w:pPr>
        <w:jc w:val="both"/>
        <w:ind w:firstLine="692"/>
        <w:spacing w:after="0" w:line="233" w:lineRule="auto"/>
        <w:rPr>
          <w:sz w:val="20"/>
          <w:szCs w:val="20"/>
          <w:color w:val="auto"/>
        </w:rPr>
      </w:pPr>
      <w:r>
        <w:rPr>
          <w:rFonts w:ascii="Times New Roman" w:cs="Times New Roman" w:eastAsia="Times New Roman" w:hAnsi="Times New Roman"/>
          <w:sz w:val="22"/>
          <w:szCs w:val="22"/>
          <w:color w:val="auto"/>
        </w:rPr>
        <w:t xml:space="preserve">The Firm understands that an Access Person recently joining the Firm as a new employee (“New Hire”), or their Related Persons, may be financially disadvantaged by being restricted from liquidating holdings of a Security of an issuer included on the Firm’s Restricted List (“Restricted List Security”). Therefore, under limited conditions and </w:t>
      </w:r>
      <w:r>
        <w:rPr>
          <w:rFonts w:ascii="Times New Roman" w:cs="Times New Roman" w:eastAsia="Times New Roman" w:hAnsi="Times New Roman"/>
          <w:sz w:val="22"/>
          <w:szCs w:val="22"/>
          <w:u w:val="single" w:color="auto"/>
          <w:color w:val="auto"/>
        </w:rPr>
        <w:t>prior to his or her start date</w:t>
      </w:r>
      <w:r>
        <w:rPr>
          <w:rFonts w:ascii="Times New Roman" w:cs="Times New Roman" w:eastAsia="Times New Roman" w:hAnsi="Times New Roman"/>
          <w:sz w:val="22"/>
          <w:szCs w:val="22"/>
          <w:color w:val="auto"/>
        </w:rPr>
        <w:t xml:space="preserve"> (i.e., the first day on which the New Hire begins working in his or her position with the Firm), a New Hire may request to place a liquidating trade in a Restricted List Security. As New Hires will not have access to the Restricted List prior to their start date, New Hires must provide any potential securities to be liquidated to the Compliance Department, and Compliance will respond as to whether the issuers of such securities are on the Restricted List. The request to liquidate must be made by the New Hire prior to his or her start date by completing the “Request to Place a Liquidating Trade in a Restricted Security” form, which can be obtained from Compliance. Compliance will review each request on a case-by-case basis and approve or deny the request, assessing all available and relevant information</w:t>
      </w:r>
      <w:r>
        <w:rPr>
          <w:rFonts w:ascii="Times New Roman" w:cs="Times New Roman" w:eastAsia="Times New Roman" w:hAnsi="Times New Roman"/>
          <w:sz w:val="22"/>
          <w:szCs w:val="22"/>
          <w:i w:val="1"/>
          <w:iCs w:val="1"/>
          <w:color w:val="auto"/>
        </w:rPr>
        <w:t>. If approved, specific conditions will be placed on the transaction (e.g.,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requirement to liquidate all shares within a certain number of days of approval and prior to the New Hire’s start date).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-21-</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641350</wp:posOffset>
            </wp:positionV>
            <wp:extent cx="71831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0"/>
          </w:cols>
          <w:pgMar w:left="900" w:top="1440" w:right="878" w:bottom="1440" w:gutter="0" w:footer="0" w:header="0"/>
        </w:sectPr>
      </w:pPr>
    </w:p>
    <w:bookmarkStart w:id="91" w:name="page92"/>
    <w:bookmarkEnd w:id="91"/>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70999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6">
                      <a:extLst>
                        <a:ext uri="{28A0092B-C50C-407E-A947-70E740481C1C}"/>
                      </a:extLst>
                    </a:blip>
                    <a:srcRect/>
                    <a:stretch>
                      <a:fillRect/>
                    </a:stretch>
                  </pic:blipFill>
                  <pic:spPr bwMode="auto">
                    <a:xfrm>
                      <a:off x="0" y="0"/>
                      <a:ext cx="7162165" cy="7099935"/>
                    </a:xfrm>
                    <a:prstGeom prst="rect">
                      <a:avLst/>
                    </a:prstGeom>
                    <a:noFill/>
                  </pic:spPr>
                </pic:pic>
              </a:graphicData>
            </a:graphic>
          </wp:anchor>
        </w:drawing>
      </w:r>
    </w:p>
    <w:p>
      <w:pPr>
        <w:ind w:left="1290" w:hanging="686"/>
        <w:spacing w:after="0"/>
        <w:tabs>
          <w:tab w:leader="none" w:pos="129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Trades by OFS Funds Directors</w:t>
      </w:r>
    </w:p>
    <w:p>
      <w:pPr>
        <w:spacing w:after="0" w:line="156" w:lineRule="exact"/>
        <w:rPr>
          <w:sz w:val="20"/>
          <w:szCs w:val="20"/>
          <w:color w:val="auto"/>
        </w:rPr>
      </w:pPr>
    </w:p>
    <w:p>
      <w:pPr>
        <w:ind w:left="710"/>
        <w:spacing w:after="0"/>
        <w:rPr>
          <w:sz w:val="20"/>
          <w:szCs w:val="20"/>
          <w:color w:val="auto"/>
        </w:rPr>
      </w:pPr>
      <w:r>
        <w:rPr>
          <w:rFonts w:ascii="Times New Roman" w:cs="Times New Roman" w:eastAsia="Times New Roman" w:hAnsi="Times New Roman"/>
          <w:sz w:val="22"/>
          <w:szCs w:val="22"/>
          <w:color w:val="auto"/>
        </w:rPr>
        <w:t>OFS Funds Directors are prohibited from trading any OFS Funds Portfolio Security.</w:t>
      </w:r>
    </w:p>
    <w:p>
      <w:pPr>
        <w:spacing w:after="0" w:line="94" w:lineRule="exact"/>
        <w:rPr>
          <w:sz w:val="20"/>
          <w:szCs w:val="20"/>
          <w:color w:val="auto"/>
        </w:rPr>
      </w:pPr>
    </w:p>
    <w:p>
      <w:pPr>
        <w:ind w:left="1290" w:hanging="686"/>
        <w:spacing w:after="0"/>
        <w:tabs>
          <w:tab w:leader="none" w:pos="129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Trades of OFS Funds Securities or other Affiliated Securities</w:t>
      </w:r>
    </w:p>
    <w:p>
      <w:pPr>
        <w:spacing w:after="0" w:line="156" w:lineRule="exact"/>
        <w:rPr>
          <w:sz w:val="20"/>
          <w:szCs w:val="20"/>
          <w:color w:val="auto"/>
        </w:rPr>
      </w:pPr>
    </w:p>
    <w:p>
      <w:pPr>
        <w:jc w:val="both"/>
        <w:ind w:left="30" w:firstLine="692"/>
        <w:spacing w:after="0" w:line="234" w:lineRule="auto"/>
        <w:rPr>
          <w:sz w:val="20"/>
          <w:szCs w:val="20"/>
          <w:color w:val="auto"/>
        </w:rPr>
      </w:pPr>
      <w:r>
        <w:rPr>
          <w:rFonts w:ascii="Times New Roman" w:cs="Times New Roman" w:eastAsia="Times New Roman" w:hAnsi="Times New Roman"/>
          <w:sz w:val="22"/>
          <w:szCs w:val="22"/>
          <w:color w:val="auto"/>
        </w:rPr>
        <w:t xml:space="preserve">No Access Person or their Related Person may, for direct or indirect personal benefit, donate or transact in an affiliated security, including, but not limited to, OFS Funds, CIM Real Assets and Credit Fund, Creative Media &amp; Community Trust Corporation (CMCT) and CIM Real Estate Finance Trust, Inc. (CMFT), without obtaining pre-clearance from Compliance. Pre-clearance requests should be submitted through the Firm’s compliance portal Approval will generally be granted only during an open trading window. All approved transactions or contributions must be completed by the next market close following the approval, unless explicitly extended or revoked by a Compliance Officer. If the approved transaction is not completed by the close of market trading on the approval date, the Access Person must submit a new pre-clearance request through the Firm’s compliance portal </w:t>
      </w:r>
      <w:r>
        <w:rPr>
          <w:rFonts w:ascii="Times New Roman" w:cs="Times New Roman" w:eastAsia="Times New Roman" w:hAnsi="Times New Roman"/>
          <w:sz w:val="22"/>
          <w:szCs w:val="22"/>
          <w:u w:val="single" w:color="auto"/>
          <w:color w:val="auto"/>
        </w:rPr>
        <w:t>prior to</w:t>
      </w:r>
      <w:r>
        <w:rPr>
          <w:rFonts w:ascii="Times New Roman" w:cs="Times New Roman" w:eastAsia="Times New Roman" w:hAnsi="Times New Roman"/>
          <w:sz w:val="22"/>
          <w:szCs w:val="22"/>
          <w:color w:val="auto"/>
        </w:rPr>
        <w:t xml:space="preserve"> the close of any applicable trading window.</w:t>
      </w:r>
    </w:p>
    <w:p>
      <w:pPr>
        <w:spacing w:after="0" w:line="71" w:lineRule="exact"/>
        <w:rPr>
          <w:sz w:val="20"/>
          <w:szCs w:val="20"/>
          <w:color w:val="auto"/>
        </w:rPr>
      </w:pPr>
    </w:p>
    <w:p>
      <w:pPr>
        <w:ind w:left="1290" w:hanging="686"/>
        <w:spacing w:after="0"/>
        <w:tabs>
          <w:tab w:leader="none" w:pos="129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Trades by Access Persons Serving on Company Boards</w:t>
      </w:r>
    </w:p>
    <w:p>
      <w:pPr>
        <w:spacing w:after="0" w:line="156" w:lineRule="exact"/>
        <w:rPr>
          <w:sz w:val="20"/>
          <w:szCs w:val="20"/>
          <w:color w:val="auto"/>
        </w:rPr>
      </w:pPr>
    </w:p>
    <w:p>
      <w:pPr>
        <w:jc w:val="both"/>
        <w:ind w:left="30" w:firstLine="692"/>
        <w:spacing w:after="0" w:line="234" w:lineRule="auto"/>
        <w:rPr>
          <w:sz w:val="20"/>
          <w:szCs w:val="20"/>
          <w:color w:val="auto"/>
        </w:rPr>
      </w:pPr>
      <w:r>
        <w:rPr>
          <w:rFonts w:ascii="Times New Roman" w:cs="Times New Roman" w:eastAsia="Times New Roman" w:hAnsi="Times New Roman"/>
          <w:sz w:val="22"/>
          <w:szCs w:val="22"/>
          <w:color w:val="auto"/>
        </w:rPr>
        <w:t>Affiliated companies for which Access Persons serve on the board of directors may permit members of its board of directors to purchase or sell stock based on a predetermined schedule (such as a Rule 10b5- 1 Plan7) that is approved by the company (“Predetermined Schedule”). Personal Securities Trades made in accordance with a Predetermined Schedule by Access Persons who serve on the board of directors of such companies are exempt from the restriction against trading in Securities added to the Restricted List after the adoption of the Predetermined Schedule, however such Predetermined Schedules must be provided to Compliance prior to any transaction conducted pursuant to the relevant Predetermined Schedule. Such transactions are also subject to the reporting requirements set forth in Section B Preclearance and Reporting Requirements. Further, purchases and sales of Securities by such company’s directors during an established trading window may be permitted with prior notice to, and at the discretion of, a Compliance Officer.</w:t>
      </w:r>
    </w:p>
    <w:p>
      <w:pPr>
        <w:spacing w:after="0" w:line="200" w:lineRule="exact"/>
        <w:rPr>
          <w:sz w:val="20"/>
          <w:szCs w:val="20"/>
          <w:color w:val="auto"/>
        </w:rPr>
      </w:pPr>
    </w:p>
    <w:p>
      <w:pPr>
        <w:spacing w:after="0" w:line="235" w:lineRule="exact"/>
        <w:rPr>
          <w:sz w:val="20"/>
          <w:szCs w:val="20"/>
          <w:color w:val="auto"/>
        </w:rPr>
      </w:pPr>
    </w:p>
    <w:p>
      <w:pPr>
        <w:jc w:val="both"/>
        <w:ind w:left="30" w:hanging="30"/>
        <w:spacing w:after="0" w:line="184" w:lineRule="auto"/>
        <w:tabs>
          <w:tab w:leader="none" w:pos="138" w:val="left"/>
        </w:tabs>
        <w:numPr>
          <w:ilvl w:val="0"/>
          <w:numId w:val="7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A Rule 10b5-1 plan is a written plan for trading Securities that is designed in accordance with Rule 105-1(c). Any person executing pre-planned transactions pursuant to a Rule 10b5-1 plan that was established in good faith at a time when that person was unaware of material nonpublic information has an affirmative defense against accusations of insider trading, even if actual trades made pursuant to the plan are executed at a time when the individual may be aware of material nonpublic information.</w:t>
      </w:r>
    </w:p>
    <w:p>
      <w:pPr>
        <w:spacing w:after="0" w:line="200" w:lineRule="exact"/>
        <w:rPr>
          <w:sz w:val="20"/>
          <w:szCs w:val="20"/>
          <w:color w:val="auto"/>
        </w:rPr>
      </w:pPr>
    </w:p>
    <w:p>
      <w:pPr>
        <w:spacing w:after="0" w:line="298"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2"/>
          <w:szCs w:val="22"/>
          <w:color w:val="auto"/>
        </w:rPr>
        <w:t>Page -22-</w:t>
      </w:r>
    </w:p>
    <w:p>
      <w:pPr>
        <w:spacing w:after="0" w:line="44"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641350</wp:posOffset>
            </wp:positionV>
            <wp:extent cx="71831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70"/>
          </w:cols>
          <w:pgMar w:left="870" w:top="1440" w:right="878" w:bottom="1440" w:gutter="0" w:footer="0" w:header="0"/>
        </w:sectPr>
      </w:pPr>
    </w:p>
    <w:bookmarkStart w:id="92" w:name="page93"/>
    <w:bookmarkEnd w:id="92"/>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7383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8">
                      <a:extLst>
                        <a:ext uri="{28A0092B-C50C-407E-A947-70E740481C1C}"/>
                      </a:extLst>
                    </a:blip>
                    <a:srcRect/>
                    <a:stretch>
                      <a:fillRect/>
                    </a:stretch>
                  </pic:blipFill>
                  <pic:spPr bwMode="auto">
                    <a:xfrm>
                      <a:off x="0" y="0"/>
                      <a:ext cx="7162165" cy="7383145"/>
                    </a:xfrm>
                    <a:prstGeom prst="rect">
                      <a:avLst/>
                    </a:prstGeom>
                    <a:noFill/>
                  </pic:spPr>
                </pic:pic>
              </a:graphicData>
            </a:graphic>
          </wp:anchor>
        </w:drawing>
      </w:r>
    </w:p>
    <w:p>
      <w:pPr>
        <w:ind w:left="1267" w:hanging="686"/>
        <w:spacing w:after="0"/>
        <w:tabs>
          <w:tab w:leader="none" w:pos="1267"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Personal Trades Through OFS Adviser’s Traders</w:t>
      </w:r>
    </w:p>
    <w:p>
      <w:pPr>
        <w:spacing w:after="0" w:line="156" w:lineRule="exact"/>
        <w:rPr>
          <w:sz w:val="20"/>
          <w:szCs w:val="20"/>
          <w:color w:val="auto"/>
        </w:rPr>
      </w:pPr>
    </w:p>
    <w:p>
      <w:pPr>
        <w:ind w:left="687"/>
        <w:spacing w:after="0"/>
        <w:rPr>
          <w:sz w:val="20"/>
          <w:szCs w:val="20"/>
          <w:color w:val="auto"/>
        </w:rPr>
      </w:pPr>
      <w:r>
        <w:rPr>
          <w:rFonts w:ascii="Times New Roman" w:cs="Times New Roman" w:eastAsia="Times New Roman" w:hAnsi="Times New Roman"/>
          <w:sz w:val="22"/>
          <w:szCs w:val="22"/>
          <w:color w:val="auto"/>
        </w:rPr>
        <w:t>No Personal Securities Trades may be effected through OFS Adviser’s trading personnel.</w:t>
      </w:r>
    </w:p>
    <w:p>
      <w:pPr>
        <w:spacing w:after="0" w:line="94" w:lineRule="exact"/>
        <w:rPr>
          <w:sz w:val="20"/>
          <w:szCs w:val="20"/>
          <w:color w:val="auto"/>
        </w:rPr>
      </w:pPr>
    </w:p>
    <w:p>
      <w:pPr>
        <w:ind w:left="1267" w:hanging="686"/>
        <w:spacing w:after="0"/>
        <w:tabs>
          <w:tab w:leader="none" w:pos="1267"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Use of Brokerage for Personal or Family Benefit</w:t>
      </w:r>
    </w:p>
    <w:p>
      <w:pPr>
        <w:spacing w:after="0" w:line="156" w:lineRule="exact"/>
        <w:rPr>
          <w:sz w:val="20"/>
          <w:szCs w:val="20"/>
          <w:color w:val="auto"/>
        </w:rPr>
      </w:pPr>
    </w:p>
    <w:p>
      <w:pPr>
        <w:jc w:val="both"/>
        <w:ind w:left="7" w:firstLine="692"/>
        <w:spacing w:after="0" w:line="244" w:lineRule="auto"/>
        <w:rPr>
          <w:sz w:val="20"/>
          <w:szCs w:val="20"/>
          <w:color w:val="auto"/>
        </w:rPr>
      </w:pPr>
      <w:r>
        <w:rPr>
          <w:rFonts w:ascii="Times New Roman" w:cs="Times New Roman" w:eastAsia="Times New Roman" w:hAnsi="Times New Roman"/>
          <w:sz w:val="22"/>
          <w:szCs w:val="22"/>
          <w:color w:val="auto"/>
        </w:rPr>
        <w:t>No Access Person may, for direct or indirect personal or a Related Persons benefit, execute a trade with a broker by using the influence (actual or implied) of OFS Adviser or any Access Person’s influence (actual or implied) with OFS Adviser.</w:t>
      </w:r>
    </w:p>
    <w:p>
      <w:pPr>
        <w:spacing w:after="0" w:line="61" w:lineRule="exact"/>
        <w:rPr>
          <w:sz w:val="20"/>
          <w:szCs w:val="20"/>
          <w:color w:val="auto"/>
        </w:rPr>
      </w:pPr>
    </w:p>
    <w:p>
      <w:pPr>
        <w:ind w:left="1267" w:hanging="686"/>
        <w:spacing w:after="0"/>
        <w:tabs>
          <w:tab w:leader="none" w:pos="1267"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Short Sale Transactions</w:t>
      </w:r>
    </w:p>
    <w:p>
      <w:pPr>
        <w:spacing w:after="0" w:line="156" w:lineRule="exact"/>
        <w:rPr>
          <w:sz w:val="20"/>
          <w:szCs w:val="20"/>
          <w:color w:val="auto"/>
        </w:rPr>
      </w:pPr>
    </w:p>
    <w:p>
      <w:pPr>
        <w:jc w:val="both"/>
        <w:ind w:left="7" w:firstLine="692"/>
        <w:spacing w:after="0" w:line="236" w:lineRule="auto"/>
        <w:rPr>
          <w:sz w:val="20"/>
          <w:szCs w:val="20"/>
          <w:color w:val="auto"/>
        </w:rPr>
      </w:pPr>
      <w:r>
        <w:rPr>
          <w:rFonts w:ascii="Times New Roman" w:cs="Times New Roman" w:eastAsia="Times New Roman" w:hAnsi="Times New Roman"/>
          <w:sz w:val="22"/>
          <w:szCs w:val="22"/>
          <w:color w:val="auto"/>
        </w:rPr>
        <w:t>No Access Person or Related Person may enter into a short sale transaction or any transaction that has the same economic effect (e.g., inverse single stock ETF, short common stock, purchase a put option or sell a naked call option) on any Security of an issuer or investment for which a position is held long by an Advisory Client. This includes bets that are placed on Prediction Markets that have a similar economic effect. Before Access Persons or their Related Person makes a short sale transaction, the Access Person must submit a pre-clearance request through the Fim’s compliance portal to engage in a short transaction on a Security.</w:t>
      </w:r>
    </w:p>
    <w:p>
      <w:pPr>
        <w:spacing w:after="0" w:line="285" w:lineRule="exact"/>
        <w:rPr>
          <w:sz w:val="20"/>
          <w:szCs w:val="20"/>
          <w:color w:val="auto"/>
        </w:rPr>
      </w:pPr>
    </w:p>
    <w:p>
      <w:pPr>
        <w:ind w:left="1267" w:hanging="686"/>
        <w:spacing w:after="0"/>
        <w:tabs>
          <w:tab w:leader="none" w:pos="1267"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Acquiring Five (5) Percent or more of a Publicly Traded Company</w:t>
      </w:r>
    </w:p>
    <w:p>
      <w:pPr>
        <w:spacing w:after="0" w:line="102" w:lineRule="exact"/>
        <w:rPr>
          <w:sz w:val="20"/>
          <w:szCs w:val="20"/>
          <w:color w:val="auto"/>
        </w:rPr>
      </w:pPr>
    </w:p>
    <w:p>
      <w:pPr>
        <w:jc w:val="both"/>
        <w:ind w:left="7" w:firstLine="692"/>
        <w:spacing w:after="0" w:line="244" w:lineRule="auto"/>
        <w:rPr>
          <w:sz w:val="20"/>
          <w:szCs w:val="20"/>
          <w:color w:val="auto"/>
        </w:rPr>
      </w:pPr>
      <w:r>
        <w:rPr>
          <w:rFonts w:ascii="Times New Roman" w:cs="Times New Roman" w:eastAsia="Times New Roman" w:hAnsi="Times New Roman"/>
          <w:sz w:val="22"/>
          <w:szCs w:val="22"/>
          <w:color w:val="auto"/>
        </w:rPr>
        <w:t>Access Persons are required to report to a Compliance Officer, via the Firm’s compliance portal, any ownership exceeding 5% of a class of equity securities of a publicly traded company that they or their Related Persons or Family Members have a beneficial interest in.</w:t>
      </w:r>
    </w:p>
    <w:p>
      <w:pPr>
        <w:spacing w:after="0" w:line="61" w:lineRule="exact"/>
        <w:rPr>
          <w:sz w:val="20"/>
          <w:szCs w:val="20"/>
          <w:color w:val="auto"/>
        </w:rPr>
      </w:pPr>
    </w:p>
    <w:p>
      <w:pPr>
        <w:ind w:left="687" w:hanging="687"/>
        <w:spacing w:after="0"/>
        <w:tabs>
          <w:tab w:leader="none" w:pos="687"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REQUIREMENTS OF OFS FUNDS DISINTERESTED DIRECTORS</w:t>
      </w:r>
    </w:p>
    <w:p>
      <w:pPr>
        <w:spacing w:after="0" w:line="210" w:lineRule="exact"/>
        <w:rPr>
          <w:sz w:val="20"/>
          <w:szCs w:val="20"/>
          <w:color w:val="auto"/>
        </w:rPr>
      </w:pPr>
    </w:p>
    <w:p>
      <w:pPr>
        <w:jc w:val="both"/>
        <w:ind w:left="7" w:firstLine="692"/>
        <w:spacing w:after="0" w:line="235" w:lineRule="auto"/>
        <w:rPr>
          <w:sz w:val="20"/>
          <w:szCs w:val="20"/>
          <w:color w:val="auto"/>
        </w:rPr>
      </w:pPr>
      <w:r>
        <w:rPr>
          <w:rFonts w:ascii="Times New Roman" w:cs="Times New Roman" w:eastAsia="Times New Roman" w:hAnsi="Times New Roman"/>
          <w:sz w:val="22"/>
          <w:szCs w:val="22"/>
          <w:color w:val="auto"/>
        </w:rPr>
        <w:t>The Recordkeeping, Reporting, and Statement of Restrictions provisions listed above (except those in Section II(C)(5-6) do not apply to any OFS Fund Director who is not an interested person of any OFS Fund within the meaning of Section 2(a)(19) of the Company Act (“Disinterested Directors”) of each of the OFS Funds, except as the following describes. A Disinterested Director need only report a transaction if, at the time of a Personal Securities Trade in a Reportable Security, the Disinterested Director knew, or, in the ordinary course of fulfilling his or her duties as a director, should have known that during the fifteen (15) day period immediately preceding or after the date of the transaction, their OFS Fund purchased or sold the Security or the Security was Being Considered for Purchase or Sale by their OFS Fund or OFS Adviser.</w:t>
      </w:r>
    </w:p>
    <w:p>
      <w:pPr>
        <w:spacing w:after="0" w:line="39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Page -23-</w:t>
      </w:r>
    </w:p>
    <w:p>
      <w:pPr>
        <w:spacing w:after="0" w:line="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641350</wp:posOffset>
            </wp:positionV>
            <wp:extent cx="71831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7"/>
          </w:cols>
          <w:pgMar w:left="893" w:top="1440" w:right="878" w:bottom="1440" w:gutter="0" w:footer="0" w:header="0"/>
        </w:sectPr>
      </w:pPr>
    </w:p>
    <w:bookmarkStart w:id="93" w:name="page94"/>
    <w:bookmarkEnd w:id="93"/>
    <w:p>
      <w:pPr>
        <w:spacing w:after="0" w:line="2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717740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0">
                      <a:extLst>
                        <a:ext uri="{28A0092B-C50C-407E-A947-70E740481C1C}"/>
                      </a:extLst>
                    </a:blip>
                    <a:srcRect/>
                    <a:stretch>
                      <a:fillRect/>
                    </a:stretch>
                  </pic:blipFill>
                  <pic:spPr bwMode="auto">
                    <a:xfrm>
                      <a:off x="0" y="0"/>
                      <a:ext cx="7162165" cy="7177405"/>
                    </a:xfrm>
                    <a:prstGeom prst="rect">
                      <a:avLst/>
                    </a:prstGeom>
                    <a:noFill/>
                  </pic:spPr>
                </pic:pic>
              </a:graphicData>
            </a:graphic>
          </wp:anchor>
        </w:drawing>
      </w:r>
    </w:p>
    <w:p>
      <w:pPr>
        <w:ind w:left="3877" w:hanging="687"/>
        <w:spacing w:after="0"/>
        <w:tabs>
          <w:tab w:leader="none" w:pos="3877"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INSIDE INFORMATION POLICY</w:t>
      </w:r>
    </w:p>
    <w:p>
      <w:pPr>
        <w:spacing w:after="0" w:line="200" w:lineRule="exact"/>
        <w:rPr>
          <w:sz w:val="20"/>
          <w:szCs w:val="20"/>
          <w:color w:val="auto"/>
        </w:rPr>
      </w:pPr>
    </w:p>
    <w:p>
      <w:pPr>
        <w:spacing w:after="0" w:line="290" w:lineRule="exact"/>
        <w:rPr>
          <w:sz w:val="20"/>
          <w:szCs w:val="20"/>
          <w:color w:val="auto"/>
        </w:rPr>
      </w:pPr>
    </w:p>
    <w:p>
      <w:pPr>
        <w:ind w:left="797" w:hanging="687"/>
        <w:spacing w:after="0"/>
        <w:tabs>
          <w:tab w:leader="none" w:pos="797"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102" w:lineRule="exact"/>
        <w:rPr>
          <w:sz w:val="20"/>
          <w:szCs w:val="20"/>
          <w:color w:val="auto"/>
        </w:rPr>
      </w:pPr>
    </w:p>
    <w:p>
      <w:pPr>
        <w:jc w:val="both"/>
        <w:ind w:left="117" w:firstLine="692"/>
        <w:spacing w:after="0" w:line="234" w:lineRule="auto"/>
        <w:rPr>
          <w:sz w:val="20"/>
          <w:szCs w:val="20"/>
          <w:color w:val="auto"/>
        </w:rPr>
      </w:pPr>
      <w:r>
        <w:rPr>
          <w:rFonts w:ascii="Times New Roman" w:cs="Times New Roman" w:eastAsia="Times New Roman" w:hAnsi="Times New Roman"/>
          <w:sz w:val="22"/>
          <w:szCs w:val="22"/>
          <w:color w:val="auto"/>
        </w:rPr>
        <w:t>The prohibitions against insider trading set forth in the federal securities laws play an essential role in maintaining the fairness, health, and integrity of our markets. These laws also establish fundamental standards of business conduct that govern our daily activities and help to ensure that Advisory Client’s trust and confidence are not compromised in any way. Consistent with these principles, OFS Adviser forbids any Supervised Person from (i) trading Securities for the Firm, any Advisory Client or any account in which a Supervised Person has a Beneficial Interest, if that Supervised Person is “aware” of material and nonpublic information (“MNPI” or “Inside Information”) concerning an issuer; or (ii) communicating MNPI to others in violation of the law. This conduct is frequently referred to as “insider trading.” This policy applies to all Supervised Persons and extends to activities within and outside of each Supervised Person’s duties at OFS Adviser or with any OFS Fund.</w:t>
      </w:r>
    </w:p>
    <w:p>
      <w:pPr>
        <w:spacing w:after="0" w:line="75" w:lineRule="exact"/>
        <w:rPr>
          <w:sz w:val="20"/>
          <w:szCs w:val="20"/>
          <w:color w:val="auto"/>
        </w:rPr>
      </w:pPr>
    </w:p>
    <w:p>
      <w:pPr>
        <w:jc w:val="both"/>
        <w:ind w:left="117" w:firstLine="692"/>
        <w:spacing w:after="0" w:line="263" w:lineRule="auto"/>
        <w:rPr>
          <w:sz w:val="20"/>
          <w:szCs w:val="20"/>
          <w:color w:val="auto"/>
        </w:rPr>
      </w:pPr>
      <w:r>
        <w:rPr>
          <w:rFonts w:ascii="Times New Roman" w:cs="Times New Roman" w:eastAsia="Times New Roman" w:hAnsi="Times New Roman"/>
          <w:sz w:val="21"/>
          <w:szCs w:val="21"/>
          <w:color w:val="auto"/>
        </w:rPr>
        <w:t>The term “insider trading” is not specifically defined under the federal securities laws (most guidance in this area can be found under case law and related judicial decisions), but generally is used to refer to improper trading in</w:t>
      </w:r>
    </w:p>
    <w:p>
      <w:pPr>
        <w:spacing w:after="0" w:line="1" w:lineRule="exact"/>
        <w:rPr>
          <w:sz w:val="20"/>
          <w:szCs w:val="20"/>
          <w:color w:val="auto"/>
        </w:rPr>
      </w:pPr>
    </w:p>
    <w:p>
      <w:pPr>
        <w:jc w:val="both"/>
        <w:ind w:left="117"/>
        <w:spacing w:after="0" w:line="229" w:lineRule="auto"/>
        <w:rPr>
          <w:sz w:val="20"/>
          <w:szCs w:val="20"/>
          <w:color w:val="auto"/>
        </w:rPr>
      </w:pPr>
      <w:r>
        <w:rPr>
          <w:rFonts w:ascii="Times New Roman" w:cs="Times New Roman" w:eastAsia="Times New Roman" w:hAnsi="Times New Roman"/>
          <w:sz w:val="22"/>
          <w:szCs w:val="22"/>
          <w:color w:val="auto"/>
        </w:rPr>
        <w:t>Securities</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on the basis</w:t>
      </w:r>
      <w:r>
        <w:rPr>
          <w:rFonts w:ascii="Times New Roman" w:cs="Times New Roman" w:eastAsia="Times New Roman" w:hAnsi="Times New Roman"/>
          <w:sz w:val="22"/>
          <w:szCs w:val="22"/>
          <w:color w:val="auto"/>
        </w:rPr>
        <w:t xml:space="preserve"> of MNPI (whether or not the person trading is an insider). A person is generally deemed to trade “on the basis of MNPI if that person is aware of MNPI when making the purchase or sale, regardless of whether the person specifically relied on the information in making an investment decision. It is generally understood that the law prohibits trading by an insider on the basis of MNPI about the Security or issuer. To be held liable under the law, the person trading generally must violate a duty of trust or confidence owed directly, indirectly or derivatively to the issuer of that Security or the shareholders of that issuer, or to any other person who is the source of the material nonpublic information (e.g., an employer). This includes trading in a Security based on advance non-public information on an anticipated Advisory Client trade in the Security contemplated for personal trading, known as “front running”. The law also prohibits the communication of inside information to others and provides for penalties and punitive damages against the “tipper” even if he or she does not gain personally from the improper trading.</w:t>
      </w:r>
    </w:p>
    <w:p>
      <w:pPr>
        <w:spacing w:after="0" w:line="284" w:lineRule="exact"/>
        <w:rPr>
          <w:sz w:val="20"/>
          <w:szCs w:val="20"/>
          <w:color w:val="auto"/>
        </w:rPr>
      </w:pPr>
    </w:p>
    <w:p>
      <w:pPr>
        <w:jc w:val="both"/>
        <w:ind w:left="-3" w:right="120" w:firstLine="3"/>
        <w:spacing w:after="0" w:line="202" w:lineRule="auto"/>
        <w:tabs>
          <w:tab w:leader="none" w:pos="103" w:val="left"/>
        </w:tabs>
        <w:numPr>
          <w:ilvl w:val="0"/>
          <w:numId w:val="7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OFS Adviser often transacts in syndicated or other loan interests on the basis of information that is not available to other members of the syndicate, or to the public in general; however, for the limited purpose of this policy, “Securities” (as defined in the Exchange Act) do not include such loan interests or other “evidences of indebtedness.” If you are uncertain as to whether a particular investment is a “security” for purposes of this policy, contact the Legal/Compliance Department</w:t>
      </w:r>
    </w:p>
    <w:p>
      <w:pPr>
        <w:spacing w:after="0" w:line="281" w:lineRule="exact"/>
        <w:rPr>
          <w:sz w:val="20"/>
          <w:szCs w:val="20"/>
          <w:color w:val="auto"/>
        </w:rPr>
      </w:pPr>
    </w:p>
    <w:p>
      <w:pPr>
        <w:jc w:val="center"/>
        <w:ind w:right="-116"/>
        <w:spacing w:after="0"/>
        <w:rPr>
          <w:sz w:val="20"/>
          <w:szCs w:val="20"/>
          <w:color w:val="auto"/>
        </w:rPr>
      </w:pPr>
      <w:r>
        <w:rPr>
          <w:rFonts w:ascii="Times New Roman" w:cs="Times New Roman" w:eastAsia="Times New Roman" w:hAnsi="Times New Roman"/>
          <w:sz w:val="22"/>
          <w:szCs w:val="22"/>
          <w:color w:val="auto"/>
        </w:rPr>
        <w:t>Page -24-</w:t>
      </w:r>
    </w:p>
    <w:p>
      <w:pPr>
        <w:spacing w:after="0" w:line="44" w:lineRule="exact"/>
        <w:rPr>
          <w:sz w:val="20"/>
          <w:szCs w:val="20"/>
          <w:color w:val="auto"/>
        </w:rPr>
      </w:pPr>
    </w:p>
    <w:p>
      <w:pPr>
        <w:jc w:val="center"/>
        <w:ind w:right="-116"/>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116"/>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812800</wp:posOffset>
            </wp:positionV>
            <wp:extent cx="71831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257"/>
          </w:cols>
          <w:pgMar w:left="783" w:top="1440" w:right="878" w:bottom="1440" w:gutter="0" w:footer="0" w:header="0"/>
        </w:sectPr>
      </w:pPr>
    </w:p>
    <w:bookmarkStart w:id="94" w:name="page95"/>
    <w:bookmarkEnd w:id="94"/>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7408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2">
                      <a:extLst>
                        <a:ext uri="{28A0092B-C50C-407E-A947-70E740481C1C}"/>
                      </a:extLst>
                    </a:blip>
                    <a:srcRect/>
                    <a:stretch>
                      <a:fillRect/>
                    </a:stretch>
                  </pic:blipFill>
                  <pic:spPr bwMode="auto">
                    <a:xfrm>
                      <a:off x="0" y="0"/>
                      <a:ext cx="7162165" cy="7408545"/>
                    </a:xfrm>
                    <a:prstGeom prst="rect">
                      <a:avLst/>
                    </a:prstGeom>
                    <a:noFill/>
                  </pic:spPr>
                </pic:pic>
              </a:graphicData>
            </a:graphic>
          </wp:anchor>
        </w:drawing>
      </w:r>
    </w:p>
    <w:p>
      <w:pPr>
        <w:ind w:left="800" w:hanging="687"/>
        <w:spacing w:after="0"/>
        <w:tabs>
          <w:tab w:leader="none" w:pos="80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KEY TERMS</w:t>
      </w:r>
    </w:p>
    <w:p>
      <w:pPr>
        <w:spacing w:after="0" w:line="2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b w:val="1"/>
          <w:bCs w:val="1"/>
          <w:color w:val="auto"/>
        </w:rPr>
        <w:t>1. What is a “Security”?</w:t>
      </w:r>
    </w:p>
    <w:p>
      <w:pPr>
        <w:spacing w:after="0" w:line="15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The Exchange Act, which covers insider trading, defines “Security” very broadly to include most types of</w:t>
      </w:r>
    </w:p>
    <w:p>
      <w:pPr>
        <w:spacing w:after="0" w:line="35" w:lineRule="exact"/>
        <w:rPr>
          <w:sz w:val="20"/>
          <w:szCs w:val="20"/>
          <w:color w:val="auto"/>
        </w:rPr>
      </w:pPr>
    </w:p>
    <w:p>
      <w:pPr>
        <w:jc w:val="both"/>
        <w:ind w:left="120" w:right="120"/>
        <w:spacing w:after="0" w:line="237" w:lineRule="auto"/>
        <w:rPr>
          <w:sz w:val="20"/>
          <w:szCs w:val="20"/>
          <w:color w:val="auto"/>
        </w:rPr>
      </w:pPr>
      <w:r>
        <w:rPr>
          <w:rFonts w:ascii="Times New Roman" w:cs="Times New Roman" w:eastAsia="Times New Roman" w:hAnsi="Times New Roman"/>
          <w:sz w:val="21"/>
          <w:szCs w:val="21"/>
          <w:color w:val="auto"/>
        </w:rPr>
        <w:t>financial instruments,</w:t>
      </w:r>
      <w:r>
        <w:rPr>
          <w:rFonts w:ascii="Times New Roman" w:cs="Times New Roman" w:eastAsia="Times New Roman" w:hAnsi="Times New Roman"/>
          <w:sz w:val="27"/>
          <w:szCs w:val="27"/>
          <w:color w:val="auto"/>
          <w:vertAlign w:val="superscript"/>
        </w:rPr>
        <w:t>9</w:t>
      </w:r>
      <w:r>
        <w:rPr>
          <w:rFonts w:ascii="Times New Roman" w:cs="Times New Roman" w:eastAsia="Times New Roman" w:hAnsi="Times New Roman"/>
          <w:sz w:val="21"/>
          <w:szCs w:val="21"/>
          <w:color w:val="auto"/>
        </w:rPr>
        <w:t xml:space="preserve"> except bank debt</w:t>
      </w:r>
      <w:r>
        <w:rPr>
          <w:rFonts w:ascii="Times New Roman" w:cs="Times New Roman" w:eastAsia="Times New Roman" w:hAnsi="Times New Roman"/>
          <w:sz w:val="27"/>
          <w:szCs w:val="27"/>
          <w:color w:val="auto"/>
          <w:vertAlign w:val="superscript"/>
        </w:rPr>
        <w:t>10</w:t>
      </w:r>
      <w:r>
        <w:rPr>
          <w:rFonts w:ascii="Times New Roman" w:cs="Times New Roman" w:eastAsia="Times New Roman" w:hAnsi="Times New Roman"/>
          <w:sz w:val="21"/>
          <w:szCs w:val="21"/>
          <w:color w:val="auto"/>
        </w:rPr>
        <w:t>. There may be instances where Supervised Persons receive information about such investments that is not generally known by other institutional investors - even those institutional investors who may be similarly situated (e.g., lenders that are privy to nonpublic information and have access to bank-level information or primary lender meetings). Although trading in “non-security” investments on the basis of nonpublic information is not prohibited by federal securities laws, such trading may be prohibited by fiduciary obligations,</w:t>
      </w:r>
    </w:p>
    <w:p>
      <w:pPr>
        <w:spacing w:after="0" w:line="9" w:lineRule="exact"/>
        <w:rPr>
          <w:sz w:val="20"/>
          <w:szCs w:val="20"/>
          <w:color w:val="auto"/>
        </w:rPr>
      </w:pPr>
    </w:p>
    <w:p>
      <w:pPr>
        <w:jc w:val="both"/>
        <w:ind w:left="120" w:right="120"/>
        <w:spacing w:after="0" w:line="230" w:lineRule="auto"/>
        <w:rPr>
          <w:sz w:val="20"/>
          <w:szCs w:val="20"/>
          <w:color w:val="auto"/>
        </w:rPr>
      </w:pPr>
      <w:r>
        <w:rPr>
          <w:rFonts w:ascii="Times New Roman" w:cs="Times New Roman" w:eastAsia="Times New Roman" w:hAnsi="Times New Roman"/>
          <w:sz w:val="22"/>
          <w:szCs w:val="22"/>
          <w:color w:val="auto"/>
        </w:rPr>
        <w:t>other federal or state statutes, or contractual obligations such as confidentiality agreements</w:t>
      </w:r>
      <w:r>
        <w:rPr>
          <w:rFonts w:ascii="Times New Roman" w:cs="Times New Roman" w:eastAsia="Times New Roman" w:hAnsi="Times New Roman"/>
          <w:sz w:val="28"/>
          <w:szCs w:val="28"/>
          <w:color w:val="auto"/>
          <w:vertAlign w:val="superscript"/>
        </w:rPr>
        <w:t>11</w:t>
      </w:r>
      <w:r>
        <w:rPr>
          <w:rFonts w:ascii="Times New Roman" w:cs="Times New Roman" w:eastAsia="Times New Roman" w:hAnsi="Times New Roman"/>
          <w:sz w:val="22"/>
          <w:szCs w:val="22"/>
          <w:color w:val="auto"/>
        </w:rPr>
        <w:t>. In situations where OFS Adviser has access to MNPI to which other potential investors/counterparties may not have access, Supervised Persons should consult with a Compliance Officer or Senior Management, as appropriate, as to whether a proposed purchase or sale of an investment should be made, and, if made, should include the use of a “Big Boy” letter (see the Firm’s Confidentiality Policy), a confidentiality agreement (see the Firm’s Confidentiality Policy), or, if the investment is a syndicated loan, the execution by OFS Adviser of the standard LSTA form, which includes disclosure concerning the possibility of access to such information. In addition, even if trading in a “non-security” investment is permissible because the above standards are met, Supervised Persons are still prohibited from trading in any Securities issued by the relevant borrower, either for an Advisory Client or themselves, if the information obtained would be material with respect to the Securities transaction. This would also include indirect participation in such a transaction; for example, by participating in an Investment Committee meeting in which a decision regarding such Securities was being considered.</w:t>
      </w:r>
    </w:p>
    <w:p>
      <w:pPr>
        <w:spacing w:after="0" w:line="286" w:lineRule="exact"/>
        <w:rPr>
          <w:sz w:val="20"/>
          <w:szCs w:val="20"/>
          <w:color w:val="auto"/>
        </w:rPr>
      </w:pPr>
    </w:p>
    <w:p>
      <w:pPr>
        <w:jc w:val="both"/>
        <w:ind w:firstLine="3"/>
        <w:spacing w:after="0" w:line="212" w:lineRule="auto"/>
        <w:tabs>
          <w:tab w:leader="none" w:pos="117" w:val="left"/>
        </w:tabs>
        <w:numPr>
          <w:ilvl w:val="0"/>
          <w:numId w:val="8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For purposes of the Inside Information Policy, “Security” means any note, stock, treasury stock, security feature, security-based swap, bond, debenture, certificate of interest or participation in any profit-sharing agreement or in any oil, gas, or other mineral royalty or lease, any collateral- trust certificate, preorganization certificate or subscription, transferable share, investment contract, voting-trust certificate, certificate of deposit for a security, any put, call, straddle, option, or privilege on any security, certificate of deposit, or group or index of securities (including any interest therein or based on the value thereof), or any put, call, straddle, option, or privilege entered into on a national securities exchange relating to foreign currency, or in general, any instrument commonly known as a “security”; or any certificate of interest or participation in, temporary or interim certificate for, receipt for, or warrant or right to subscribe to or purchase, any of the foregoing; but shall not include currency or any note, draft, bill of exchange, or banker's acceptance which has a maturity at the time of issuance of not exceeding nine months, exclusive of days of grace, or any renewal thereof the maturity of which is likewise limited.</w:t>
      </w:r>
    </w:p>
    <w:p>
      <w:pPr>
        <w:ind w:left="180" w:hanging="177"/>
        <w:spacing w:after="0" w:line="207" w:lineRule="auto"/>
        <w:tabs>
          <w:tab w:leader="none" w:pos="180" w:val="left"/>
        </w:tabs>
        <w:numPr>
          <w:ilvl w:val="0"/>
          <w:numId w:val="8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Note that, for most purposes, evidences of indebtedness are treated as “securities” for securities law purposes; insider trading prohibitions are an exception to this general rule.</w:t>
      </w:r>
    </w:p>
    <w:p>
      <w:pPr>
        <w:spacing w:after="0" w:line="71" w:lineRule="exact"/>
        <w:rPr>
          <w:rFonts w:ascii="Times New Roman" w:cs="Times New Roman" w:eastAsia="Times New Roman" w:hAnsi="Times New Roman"/>
          <w:sz w:val="24"/>
          <w:szCs w:val="24"/>
          <w:color w:val="auto"/>
          <w:vertAlign w:val="superscript"/>
        </w:rPr>
      </w:pPr>
    </w:p>
    <w:p>
      <w:pPr>
        <w:ind w:firstLine="3"/>
        <w:spacing w:after="0" w:line="194" w:lineRule="auto"/>
        <w:tabs>
          <w:tab w:leader="none" w:pos="171" w:val="left"/>
        </w:tabs>
        <w:numPr>
          <w:ilvl w:val="0"/>
          <w:numId w:val="8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Compliance Department maintains the Private Company List and Advisory Clients may not transact in these investments unless an exception to the prohibition from trading a security on the Private Company List has been granted by the CCO or his or her designee. Please refer to the Confidentiality Policy for more information.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-25-</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803910</wp:posOffset>
            </wp:positionV>
            <wp:extent cx="71831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380"/>
          </w:cols>
          <w:pgMar w:left="780" w:top="1440" w:right="758" w:bottom="1440" w:gutter="0" w:footer="0" w:header="0"/>
        </w:sectPr>
      </w:pPr>
    </w:p>
    <w:bookmarkStart w:id="95" w:name="page96"/>
    <w:bookmarkEnd w:id="95"/>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04291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4">
                      <a:extLst>
                        <a:ext uri="{28A0092B-C50C-407E-A947-70E740481C1C}"/>
                      </a:extLst>
                    </a:blip>
                    <a:srcRect/>
                    <a:stretch>
                      <a:fillRect/>
                    </a:stretch>
                  </pic:blipFill>
                  <pic:spPr bwMode="auto">
                    <a:xfrm>
                      <a:off x="0" y="0"/>
                      <a:ext cx="7162165" cy="8042910"/>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22"/>
          <w:szCs w:val="22"/>
          <w:b w:val="1"/>
          <w:bCs w:val="1"/>
          <w:color w:val="auto"/>
        </w:rPr>
        <w:t>2. Who is an Insider?</w:t>
      </w:r>
    </w:p>
    <w:p>
      <w:pPr>
        <w:spacing w:after="0" w:line="156" w:lineRule="exact"/>
        <w:rPr>
          <w:sz w:val="20"/>
          <w:szCs w:val="20"/>
          <w:color w:val="auto"/>
        </w:rPr>
      </w:pPr>
    </w:p>
    <w:p>
      <w:pPr>
        <w:jc w:val="both"/>
        <w:ind w:firstLine="692"/>
        <w:spacing w:after="0" w:line="235" w:lineRule="auto"/>
        <w:rPr>
          <w:sz w:val="20"/>
          <w:szCs w:val="20"/>
          <w:color w:val="auto"/>
        </w:rPr>
      </w:pPr>
      <w:r>
        <w:rPr>
          <w:rFonts w:ascii="Times New Roman" w:cs="Times New Roman" w:eastAsia="Times New Roman" w:hAnsi="Times New Roman"/>
          <w:sz w:val="22"/>
          <w:szCs w:val="22"/>
          <w:color w:val="auto"/>
        </w:rPr>
        <w:t>The concept of an “insider” is broad. It includes officers, directors, and employees of a company. In addition, a person can be a “temporary insider” if he or she enters into a special confidential relationship in the conduct of a company’s affairs and as a result is given access to information solely for the company’s purposes. A temporary insider can include, among others, a company’s attorneys, accountants, consultants, bank lending officers, investment advisers (such as OFS Adviser) and the employees of such organizations. OFS Adviser may become a temporary insider by signing a confidentiality agreement or by accessing material nonpublic information of a public issuer via a private electronic workspace.</w:t>
      </w:r>
    </w:p>
    <w:p>
      <w:pPr>
        <w:spacing w:after="0" w:line="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3. What is Material Information?</w:t>
      </w:r>
    </w:p>
    <w:p>
      <w:pPr>
        <w:spacing w:after="0" w:line="156" w:lineRule="exact"/>
        <w:rPr>
          <w:sz w:val="20"/>
          <w:szCs w:val="20"/>
          <w:color w:val="auto"/>
        </w:rPr>
      </w:pPr>
    </w:p>
    <w:p>
      <w:pPr>
        <w:jc w:val="both"/>
        <w:ind w:firstLine="692"/>
        <w:spacing w:after="0" w:line="239" w:lineRule="auto"/>
        <w:rPr>
          <w:sz w:val="20"/>
          <w:szCs w:val="20"/>
          <w:color w:val="auto"/>
        </w:rPr>
      </w:pPr>
      <w:r>
        <w:rPr>
          <w:rFonts w:ascii="Times New Roman" w:cs="Times New Roman" w:eastAsia="Times New Roman" w:hAnsi="Times New Roman"/>
          <w:sz w:val="22"/>
          <w:szCs w:val="22"/>
          <w:color w:val="auto"/>
        </w:rPr>
        <w:t>Trading on inside information is not a basis for liability unless the information is deemed material. “Material” information generally is defined as information with respect to which there is a substantial likelihood that a reasonable investor would consider it important in making his or her investment decisions, or information that could reasonably be expected to have a substantial effect on the price of a company’s Securities.</w:t>
      </w:r>
    </w:p>
    <w:p>
      <w:pPr>
        <w:spacing w:after="0" w:line="7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Among other things, the following types of information are generally regarded as “material”:</w:t>
      </w:r>
    </w:p>
    <w:p>
      <w:pPr>
        <w:spacing w:after="0" w:line="98" w:lineRule="exact"/>
        <w:rPr>
          <w:sz w:val="20"/>
          <w:szCs w:val="20"/>
          <w:color w:val="auto"/>
        </w:rPr>
      </w:pPr>
    </w:p>
    <w:p>
      <w:pPr>
        <w:ind w:left="1720" w:hanging="344"/>
        <w:spacing w:after="0"/>
        <w:tabs>
          <w:tab w:leader="none" w:pos="17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 or earnings announcements</w:t>
      </w:r>
    </w:p>
    <w:p>
      <w:pPr>
        <w:spacing w:after="0" w:line="14" w:lineRule="exact"/>
        <w:rPr>
          <w:rFonts w:ascii="Times New Roman" w:cs="Times New Roman" w:eastAsia="Times New Roman" w:hAnsi="Times New Roman"/>
          <w:sz w:val="22"/>
          <w:szCs w:val="22"/>
          <w:color w:val="auto"/>
        </w:rPr>
      </w:pPr>
    </w:p>
    <w:p>
      <w:pPr>
        <w:ind w:left="1720" w:hanging="344"/>
        <w:spacing w:after="0" w:line="230" w:lineRule="auto"/>
        <w:tabs>
          <w:tab w:leader="none" w:pos="17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write-downs or write-offs of assets</w:t>
      </w:r>
    </w:p>
    <w:p>
      <w:pPr>
        <w:ind w:left="1720" w:hanging="344"/>
        <w:spacing w:after="0" w:line="230" w:lineRule="auto"/>
        <w:tabs>
          <w:tab w:leader="none" w:pos="17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additions to reserves for bad debts or contingent liabilities</w:t>
      </w:r>
    </w:p>
    <w:p>
      <w:pPr>
        <w:ind w:left="1720" w:hanging="344"/>
        <w:spacing w:after="0" w:line="230" w:lineRule="auto"/>
        <w:tabs>
          <w:tab w:leader="none" w:pos="17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expansion or curtailment of company or major division operations</w:t>
      </w:r>
    </w:p>
    <w:p>
      <w:pPr>
        <w:ind w:left="1720" w:hanging="344"/>
        <w:spacing w:after="0" w:line="230" w:lineRule="auto"/>
        <w:tabs>
          <w:tab w:leader="none" w:pos="17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merger, joint venture announcements</w:t>
      </w:r>
    </w:p>
    <w:p>
      <w:pPr>
        <w:ind w:left="1720" w:hanging="344"/>
        <w:spacing w:after="0" w:line="230" w:lineRule="auto"/>
        <w:tabs>
          <w:tab w:leader="none" w:pos="17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product/service/marketing announcements</w:t>
      </w:r>
    </w:p>
    <w:p>
      <w:pPr>
        <w:ind w:left="1720" w:hanging="344"/>
        <w:spacing w:after="0"/>
        <w:tabs>
          <w:tab w:leader="none" w:pos="17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supplier/manufacturing/production announcements</w:t>
      </w:r>
    </w:p>
    <w:p>
      <w:pPr>
        <w:spacing w:after="0" w:line="3" w:lineRule="exact"/>
        <w:rPr>
          <w:rFonts w:ascii="Times New Roman" w:cs="Times New Roman" w:eastAsia="Times New Roman" w:hAnsi="Times New Roman"/>
          <w:sz w:val="22"/>
          <w:szCs w:val="22"/>
          <w:color w:val="auto"/>
        </w:rPr>
      </w:pPr>
    </w:p>
    <w:p>
      <w:pPr>
        <w:ind w:left="1720" w:hanging="344"/>
        <w:spacing w:after="0" w:line="230" w:lineRule="auto"/>
        <w:tabs>
          <w:tab w:leader="none" w:pos="17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charge/impairment announcements</w:t>
      </w:r>
    </w:p>
    <w:p>
      <w:pPr>
        <w:ind w:left="1720" w:hanging="344"/>
        <w:spacing w:after="0" w:line="230" w:lineRule="auto"/>
        <w:tabs>
          <w:tab w:leader="none" w:pos="17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senior management changes</w:t>
      </w:r>
    </w:p>
    <w:p>
      <w:pPr>
        <w:ind w:left="1720" w:hanging="344"/>
        <w:spacing w:after="0" w:line="230" w:lineRule="auto"/>
        <w:tabs>
          <w:tab w:leader="none" w:pos="17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control</w:t>
      </w:r>
    </w:p>
    <w:p>
      <w:pPr>
        <w:ind w:left="1720" w:hanging="344"/>
        <w:spacing w:after="0" w:line="230" w:lineRule="auto"/>
        <w:tabs>
          <w:tab w:leader="none" w:pos="17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restatement of previously issued financial statements</w:t>
      </w:r>
    </w:p>
    <w:p>
      <w:pPr>
        <w:ind w:left="1720" w:hanging="344"/>
        <w:spacing w:after="0" w:line="230" w:lineRule="auto"/>
        <w:tabs>
          <w:tab w:leader="none" w:pos="17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discovery or research developments</w:t>
      </w:r>
    </w:p>
    <w:p>
      <w:pPr>
        <w:ind w:left="1700" w:hanging="324"/>
        <w:spacing w:after="0" w:line="230" w:lineRule="auto"/>
        <w:tabs>
          <w:tab w:leader="none" w:pos="17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criminal indictments and civil and government investigations, litigations and/or settlements</w:t>
      </w:r>
    </w:p>
    <w:p>
      <w:pPr>
        <w:ind w:left="1720" w:hanging="344"/>
        <w:spacing w:after="0" w:line="230" w:lineRule="auto"/>
        <w:tabs>
          <w:tab w:leader="none" w:pos="17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labor disputes</w:t>
      </w:r>
    </w:p>
    <w:p>
      <w:pPr>
        <w:ind w:left="1720" w:hanging="344"/>
        <w:spacing w:after="0" w:line="230" w:lineRule="auto"/>
        <w:tabs>
          <w:tab w:leader="none" w:pos="17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service or liquidity problems</w:t>
      </w:r>
    </w:p>
    <w:p>
      <w:pPr>
        <w:ind w:left="1720" w:hanging="344"/>
        <w:spacing w:after="0" w:line="230" w:lineRule="auto"/>
        <w:tabs>
          <w:tab w:leader="none" w:pos="17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bankruptcy or insolvency problems</w:t>
      </w:r>
    </w:p>
    <w:p>
      <w:pPr>
        <w:ind w:left="1720" w:hanging="344"/>
        <w:spacing w:after="0" w:line="230" w:lineRule="auto"/>
        <w:tabs>
          <w:tab w:leader="none" w:pos="17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tender offers, stock repurchase plans, etc.</w:t>
      </w:r>
    </w:p>
    <w:p>
      <w:pPr>
        <w:ind w:left="1720" w:hanging="344"/>
        <w:spacing w:after="0"/>
        <w:tabs>
          <w:tab w:leader="none" w:pos="17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recapitalizations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-26-</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803910</wp:posOffset>
            </wp:positionV>
            <wp:extent cx="71831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0"/>
          </w:cols>
          <w:pgMar w:left="900" w:top="1440" w:right="878" w:bottom="1440" w:gutter="0" w:footer="0" w:header="0"/>
        </w:sectPr>
      </w:pPr>
    </w:p>
    <w:bookmarkStart w:id="96" w:name="page97"/>
    <w:bookmarkEnd w:id="96"/>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18007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6">
                      <a:extLst>
                        <a:ext uri="{28A0092B-C50C-407E-A947-70E740481C1C}"/>
                      </a:extLst>
                    </a:blip>
                    <a:srcRect/>
                    <a:stretch>
                      <a:fillRect/>
                    </a:stretch>
                  </pic:blipFill>
                  <pic:spPr bwMode="auto">
                    <a:xfrm>
                      <a:off x="0" y="0"/>
                      <a:ext cx="7162165" cy="8180070"/>
                    </a:xfrm>
                    <a:prstGeom prst="rect">
                      <a:avLst/>
                    </a:prstGeom>
                    <a:noFill/>
                  </pic:spPr>
                </pic:pic>
              </a:graphicData>
            </a:graphic>
          </wp:anchor>
        </w:drawing>
      </w:r>
    </w:p>
    <w:p>
      <w:pPr>
        <w:jc w:val="both"/>
        <w:ind w:firstLine="691"/>
        <w:spacing w:after="0" w:line="238" w:lineRule="auto"/>
        <w:rPr>
          <w:sz w:val="20"/>
          <w:szCs w:val="20"/>
          <w:color w:val="auto"/>
        </w:rPr>
      </w:pPr>
      <w:r>
        <w:rPr>
          <w:rFonts w:ascii="Times New Roman" w:cs="Times New Roman" w:eastAsia="Times New Roman" w:hAnsi="Times New Roman"/>
          <w:sz w:val="22"/>
          <w:szCs w:val="22"/>
          <w:color w:val="auto"/>
        </w:rPr>
        <w:t xml:space="preserve">Material information does not have to relate to a company’s business. For example, in </w:t>
      </w:r>
      <w:r>
        <w:rPr>
          <w:rFonts w:ascii="Times New Roman" w:cs="Times New Roman" w:eastAsia="Times New Roman" w:hAnsi="Times New Roman"/>
          <w:sz w:val="22"/>
          <w:szCs w:val="22"/>
          <w:u w:val="single" w:color="auto"/>
          <w:color w:val="auto"/>
        </w:rPr>
        <w:t>Carpenter v. U.S.</w:t>
      </w:r>
      <w:r>
        <w:rPr>
          <w:rFonts w:ascii="Times New Roman" w:cs="Times New Roman" w:eastAsia="Times New Roman" w:hAnsi="Times New Roman"/>
          <w:sz w:val="22"/>
          <w:szCs w:val="22"/>
          <w:color w:val="auto"/>
        </w:rPr>
        <w:t>, 18 U.S. 316 (1987), the Supreme Court considered as material certain information about the contents of a forthcoming newspaper column that was expected to affect the market price of a Security. In that case, a Wall Street Journal reporter was found criminally liable for disclosing to others the dates that reports on various companies would appear in the Journal and whether those reports would be favorable or not.</w:t>
      </w:r>
    </w:p>
    <w:p>
      <w:pPr>
        <w:spacing w:after="0" w:line="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b w:val="1"/>
          <w:bCs w:val="1"/>
          <w:color w:val="auto"/>
        </w:rPr>
        <w:t>4. What is Nonpublic Information?</w:t>
      </w:r>
    </w:p>
    <w:p>
      <w:pPr>
        <w:spacing w:after="0" w:line="156" w:lineRule="exact"/>
        <w:rPr>
          <w:sz w:val="20"/>
          <w:szCs w:val="20"/>
          <w:color w:val="auto"/>
        </w:rPr>
      </w:pPr>
    </w:p>
    <w:p>
      <w:pPr>
        <w:jc w:val="both"/>
        <w:ind w:left="120" w:right="120" w:firstLine="692"/>
        <w:spacing w:after="0" w:line="235" w:lineRule="auto"/>
        <w:rPr>
          <w:sz w:val="20"/>
          <w:szCs w:val="20"/>
          <w:color w:val="auto"/>
        </w:rPr>
      </w:pPr>
      <w:r>
        <w:rPr>
          <w:rFonts w:ascii="Times New Roman" w:cs="Times New Roman" w:eastAsia="Times New Roman" w:hAnsi="Times New Roman"/>
          <w:sz w:val="22"/>
          <w:szCs w:val="22"/>
          <w:color w:val="auto"/>
        </w:rPr>
        <w:t xml:space="preserve">Information is nonpublic until it has been effectively communicated to the marketplace. One must be able to point to some fact to show that the information is generally public. For example, information found in a report filed with the SEC, or appearing in </w:t>
      </w:r>
      <w:r>
        <w:rPr>
          <w:rFonts w:ascii="Times New Roman" w:cs="Times New Roman" w:eastAsia="Times New Roman" w:hAnsi="Times New Roman"/>
          <w:sz w:val="22"/>
          <w:szCs w:val="22"/>
          <w:u w:val="single" w:color="auto"/>
          <w:color w:val="auto"/>
        </w:rPr>
        <w:t>Dow Jones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Reuters Economic Services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Wall Street Journal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Bloomberg,</w:t>
      </w:r>
      <w:r>
        <w:rPr>
          <w:rFonts w:ascii="Times New Roman" w:cs="Times New Roman" w:eastAsia="Times New Roman" w:hAnsi="Times New Roman"/>
          <w:sz w:val="22"/>
          <w:szCs w:val="22"/>
          <w:color w:val="auto"/>
        </w:rPr>
        <w:t xml:space="preserve"> or other publications of general circulation would be considered public. Supervised Persons should seek specific guidance from a Compliance Officer in situations where information concerning an issuer or its affiliated entities (e.g., subsidiaries) may not have been made available to the investment community generally but was made available to a group of institutional investors.</w:t>
      </w:r>
    </w:p>
    <w:p>
      <w:pPr>
        <w:spacing w:after="0" w:line="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b w:val="1"/>
          <w:bCs w:val="1"/>
          <w:color w:val="auto"/>
        </w:rPr>
        <w:t>5. Contacts with Companies</w:t>
      </w:r>
    </w:p>
    <w:p>
      <w:pPr>
        <w:spacing w:after="0" w:line="156" w:lineRule="exact"/>
        <w:rPr>
          <w:sz w:val="20"/>
          <w:szCs w:val="20"/>
          <w:color w:val="auto"/>
        </w:rPr>
      </w:pPr>
    </w:p>
    <w:p>
      <w:pPr>
        <w:jc w:val="both"/>
        <w:ind w:left="120" w:right="120" w:firstLine="692"/>
        <w:spacing w:after="0" w:line="243" w:lineRule="auto"/>
        <w:rPr>
          <w:sz w:val="20"/>
          <w:szCs w:val="20"/>
          <w:color w:val="auto"/>
        </w:rPr>
      </w:pPr>
      <w:r>
        <w:rPr>
          <w:rFonts w:ascii="Times New Roman" w:cs="Times New Roman" w:eastAsia="Times New Roman" w:hAnsi="Times New Roman"/>
          <w:sz w:val="21"/>
          <w:szCs w:val="21"/>
          <w:color w:val="auto"/>
        </w:rPr>
        <w:t xml:space="preserve">From time to time, Supervised Persons may meet with members of senior management at publicly-traded companies associated with an investment/deal or a prospective investment/deal. Supervised Persons may also participate in ad hoc creditors’ committees for distressed companies exploring restructuring options. OFS Adviser may make investment decisions on the basis of the Firm’s conclusions formed through such contacts and analysis of publicly-available information regarding foreign and U.S. companies. Difficult legal issues arise when, during these contacts, a Supervised Person becomes aware of MNPI about those companies. This could happen, for example, if a company’s chief financial officer prematurely discloses quarterly results to a Supervised Person, a broker, or a securities analyst, or if an investor relations representative makes a selective disclosure of adverse news to a handful of investors; or in the case of creditors’ committees, if the advisors or consultants engaged by the distressed company inadvertently disclose MNPI to Supervised Persons through their participation in the committee. </w:t>
      </w:r>
      <w:r>
        <w:rPr>
          <w:rFonts w:ascii="Times New Roman" w:cs="Times New Roman" w:eastAsia="Times New Roman" w:hAnsi="Times New Roman"/>
          <w:sz w:val="21"/>
          <w:szCs w:val="21"/>
          <w:b w:val="1"/>
          <w:bCs w:val="1"/>
          <w:color w:val="auto"/>
        </w:rPr>
        <w:t>In such situations,</w:t>
      </w:r>
    </w:p>
    <w:p>
      <w:pPr>
        <w:spacing w:after="0" w:line="9" w:lineRule="exact"/>
        <w:rPr>
          <w:sz w:val="20"/>
          <w:szCs w:val="20"/>
          <w:color w:val="auto"/>
        </w:rPr>
      </w:pPr>
    </w:p>
    <w:p>
      <w:pPr>
        <w:jc w:val="both"/>
        <w:ind w:left="120" w:right="120"/>
        <w:spacing w:after="0" w:line="237" w:lineRule="auto"/>
        <w:rPr>
          <w:sz w:val="20"/>
          <w:szCs w:val="20"/>
          <w:color w:val="auto"/>
        </w:rPr>
      </w:pPr>
      <w:r>
        <w:rPr>
          <w:rFonts w:ascii="Times New Roman" w:cs="Times New Roman" w:eastAsia="Times New Roman" w:hAnsi="Times New Roman"/>
          <w:sz w:val="22"/>
          <w:szCs w:val="22"/>
          <w:b w:val="1"/>
          <w:bCs w:val="1"/>
          <w:color w:val="auto"/>
        </w:rPr>
        <w:t>Supervised Persons should immediately contact a Compliance Officer if he or she believes that he or she may have received MNPI about a publicly traded company.</w:t>
      </w:r>
    </w:p>
    <w:p>
      <w:pPr>
        <w:spacing w:after="0" w:line="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b w:val="1"/>
          <w:bCs w:val="1"/>
          <w:color w:val="auto"/>
        </w:rPr>
        <w:t>6. Tender Offers</w:t>
      </w:r>
    </w:p>
    <w:p>
      <w:pPr>
        <w:spacing w:after="0" w:line="156" w:lineRule="exact"/>
        <w:rPr>
          <w:sz w:val="20"/>
          <w:szCs w:val="20"/>
          <w:color w:val="auto"/>
        </w:rPr>
      </w:pPr>
    </w:p>
    <w:p>
      <w:pPr>
        <w:jc w:val="both"/>
        <w:ind w:left="120" w:right="120" w:firstLine="692"/>
        <w:spacing w:after="0" w:line="236" w:lineRule="auto"/>
        <w:rPr>
          <w:sz w:val="20"/>
          <w:szCs w:val="20"/>
          <w:color w:val="auto"/>
        </w:rPr>
      </w:pPr>
      <w:r>
        <w:rPr>
          <w:rFonts w:ascii="Times New Roman" w:cs="Times New Roman" w:eastAsia="Times New Roman" w:hAnsi="Times New Roman"/>
          <w:sz w:val="22"/>
          <w:szCs w:val="22"/>
          <w:color w:val="auto"/>
        </w:rPr>
        <w:t>Tender offers raise heightened concerns in the law of insider trading for two reasons. First, tender offer activity often produces gyrations in the price of the target company’s Securities. Trading during this period is more likely to attract regulatory attention (and produces a disproportionate percentage of insider trading cases). Second, the SEC has adopted a rule which expressly forbids trading and “tipping” while in possession of MNPI regarding a tender offer received from the tender offeror, the target company or anyone acting on behalf of either. Supervised Persons should exercise caution any time they become aware of nonpublic information relating to a tender offer.</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-27-</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803910</wp:posOffset>
            </wp:positionV>
            <wp:extent cx="71831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380"/>
          </w:cols>
          <w:pgMar w:left="780" w:top="1440" w:right="758" w:bottom="1440" w:gutter="0" w:footer="0" w:header="0"/>
        </w:sectPr>
      </w:pPr>
    </w:p>
    <w:bookmarkStart w:id="97" w:name="page98"/>
    <w:bookmarkEnd w:id="97"/>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36866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8">
                      <a:extLst>
                        <a:ext uri="{28A0092B-C50C-407E-A947-70E740481C1C}"/>
                      </a:extLst>
                    </a:blip>
                    <a:srcRect/>
                    <a:stretch>
                      <a:fillRect/>
                    </a:stretch>
                  </pic:blipFill>
                  <pic:spPr bwMode="auto">
                    <a:xfrm>
                      <a:off x="0" y="0"/>
                      <a:ext cx="7162165" cy="8368665"/>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22"/>
          <w:szCs w:val="22"/>
          <w:b w:val="1"/>
          <w:bCs w:val="1"/>
          <w:color w:val="auto"/>
        </w:rPr>
        <w:t>7. Shadow Trading</w:t>
      </w:r>
    </w:p>
    <w:p>
      <w:pPr>
        <w:spacing w:after="0" w:line="156" w:lineRule="exact"/>
        <w:rPr>
          <w:sz w:val="20"/>
          <w:szCs w:val="20"/>
          <w:color w:val="auto"/>
        </w:rPr>
      </w:pPr>
    </w:p>
    <w:p>
      <w:pPr>
        <w:jc w:val="both"/>
        <w:ind w:right="40" w:firstLine="692"/>
        <w:spacing w:after="0" w:line="233" w:lineRule="auto"/>
        <w:rPr>
          <w:sz w:val="20"/>
          <w:szCs w:val="20"/>
          <w:color w:val="auto"/>
        </w:rPr>
      </w:pPr>
      <w:r>
        <w:rPr>
          <w:rFonts w:ascii="Times New Roman" w:cs="Times New Roman" w:eastAsia="Times New Roman" w:hAnsi="Times New Roman"/>
          <w:sz w:val="22"/>
          <w:szCs w:val="22"/>
          <w:color w:val="auto"/>
        </w:rPr>
        <w:t xml:space="preserve">Shadow Trading occurs when a Supervised Person possesses MNPI regarding a company and trades in the securities of another company that is “economically linked” to the company for which that Supervised Person has MNPI. “Economically Linked” is the concept that MNPI about one issuer could likely affect the price of the securities of another issuer due to being in the same sector, employing the same service providers, being subject to the same cybersecurity failings, etc. that are in the same sector or subsector in predictable ways. An SEC insider trading case claiming a defendant engaged in impermissible insider trading through shadow trading was upheld in a court case in April 2024, see </w:t>
      </w:r>
      <w:r>
        <w:rPr>
          <w:rFonts w:ascii="Times New Roman" w:cs="Times New Roman" w:eastAsia="Times New Roman" w:hAnsi="Times New Roman"/>
          <w:sz w:val="22"/>
          <w:szCs w:val="22"/>
          <w:u w:val="single" w:color="auto"/>
          <w:color w:val="auto"/>
        </w:rPr>
        <w:t>SEC v. Matthew Panuwat.</w:t>
      </w:r>
      <w:r>
        <w:rPr>
          <w:rFonts w:ascii="Times New Roman" w:cs="Times New Roman" w:eastAsia="Times New Roman" w:hAnsi="Times New Roman"/>
          <w:sz w:val="22"/>
          <w:szCs w:val="22"/>
          <w:color w:val="auto"/>
        </w:rPr>
        <w:t xml:space="preserve"> Supervised Persons should be aware that the SEC considers shadow trading to be insider trading and ensure they do not engage in transactions in “economically linked” securities while in possession of MNPI about a different, closely correlated issuer (securities of companies in the same industry). For example, a Supervised Person obtains MNPI regarding Southwest Airlines’ discovery of a significant defect in its Boeing 737 planes, which is expected to cause its stock price to decline once that news is made available to the public. The Supervised Person then uses that information to short Alaska Airlines’ stock, as Alaska Airlines also primarily utilizes Boeing 737’s in their fleet and its stock is likely to be affected in the same way as they are in the same industry and “economically linked”.</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8. Prediction Markets</w:t>
      </w:r>
    </w:p>
    <w:p>
      <w:pPr>
        <w:spacing w:after="0" w:line="156" w:lineRule="exact"/>
        <w:rPr>
          <w:sz w:val="20"/>
          <w:szCs w:val="20"/>
          <w:color w:val="auto"/>
        </w:rPr>
      </w:pPr>
    </w:p>
    <w:p>
      <w:pPr>
        <w:jc w:val="both"/>
        <w:ind w:right="40" w:firstLine="692"/>
        <w:spacing w:after="0" w:line="244" w:lineRule="auto"/>
        <w:rPr>
          <w:sz w:val="20"/>
          <w:szCs w:val="20"/>
          <w:color w:val="auto"/>
        </w:rPr>
      </w:pPr>
      <w:r>
        <w:rPr>
          <w:rFonts w:ascii="Times New Roman" w:cs="Times New Roman" w:eastAsia="Times New Roman" w:hAnsi="Times New Roman"/>
          <w:sz w:val="22"/>
          <w:szCs w:val="22"/>
          <w:color w:val="auto"/>
        </w:rPr>
        <w:t>Prediction Market platforms allow participants to place bets on the outcome of future events. Since the value of a position depends on whether a specified event occurs, such as economic, political, corporate, legal, or regulatory developments, it is an area where the misuse of MNPI or confidential information could occur.</w:t>
      </w:r>
    </w:p>
    <w:p>
      <w:pPr>
        <w:spacing w:after="0" w:line="65"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To prevent the potential misuse of MNPI and the confidential information of the Firm, its Affiliates, Advisory Clients and/or investments held by such Advisory Clients, Firm employees and their Related Persons are prohibited from the following activities with respect to Prediction Markets:</w:t>
      </w:r>
    </w:p>
    <w:p>
      <w:pPr>
        <w:spacing w:after="0" w:line="65" w:lineRule="exact"/>
        <w:rPr>
          <w:sz w:val="20"/>
          <w:szCs w:val="20"/>
          <w:color w:val="auto"/>
        </w:rPr>
      </w:pPr>
    </w:p>
    <w:p>
      <w:pPr>
        <w:ind w:left="680" w:hanging="341"/>
        <w:spacing w:after="0"/>
        <w:tabs>
          <w:tab w:leader="none" w:pos="6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Placing a bet while in possession of MNPI,</w:t>
      </w:r>
    </w:p>
    <w:p>
      <w:pPr>
        <w:spacing w:after="0" w:line="152" w:lineRule="exact"/>
        <w:rPr>
          <w:rFonts w:ascii="Times New Roman" w:cs="Times New Roman" w:eastAsia="Times New Roman" w:hAnsi="Times New Roman"/>
          <w:sz w:val="22"/>
          <w:szCs w:val="22"/>
          <w:color w:val="auto"/>
        </w:rPr>
      </w:pPr>
    </w:p>
    <w:p>
      <w:pPr>
        <w:ind w:left="680" w:right="200" w:hanging="341"/>
        <w:spacing w:after="0" w:line="258" w:lineRule="auto"/>
        <w:tabs>
          <w:tab w:leader="none" w:pos="6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Placing a bet on the Firm, its Affiliates, Advisory Clients and/or investments held by such Advisory Clients using confidential information,</w:t>
      </w:r>
    </w:p>
    <w:p>
      <w:pPr>
        <w:spacing w:after="0" w:line="104" w:lineRule="exact"/>
        <w:rPr>
          <w:rFonts w:ascii="Times New Roman" w:cs="Times New Roman" w:eastAsia="Times New Roman" w:hAnsi="Times New Roman"/>
          <w:sz w:val="22"/>
          <w:szCs w:val="22"/>
          <w:color w:val="auto"/>
        </w:rPr>
      </w:pPr>
    </w:p>
    <w:p>
      <w:pPr>
        <w:ind w:left="680" w:hanging="341"/>
        <w:spacing w:after="0" w:line="258" w:lineRule="auto"/>
        <w:tabs>
          <w:tab w:leader="none" w:pos="6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Placing a bet that takes a position against the Firm, its Affiliates, Advisory Clients and/or investments held by such Advisory Clients.</w:t>
      </w:r>
    </w:p>
    <w:p>
      <w:pPr>
        <w:spacing w:after="0" w:line="3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9. Penalties for Insider Trading</w:t>
      </w:r>
    </w:p>
    <w:p>
      <w:pPr>
        <w:spacing w:after="0" w:line="156" w:lineRule="exact"/>
        <w:rPr>
          <w:sz w:val="20"/>
          <w:szCs w:val="20"/>
          <w:color w:val="auto"/>
        </w:rPr>
      </w:pPr>
    </w:p>
    <w:p>
      <w:pPr>
        <w:jc w:val="both"/>
        <w:ind w:right="40" w:firstLine="692"/>
        <w:spacing w:after="0" w:line="244" w:lineRule="auto"/>
        <w:rPr>
          <w:sz w:val="20"/>
          <w:szCs w:val="20"/>
          <w:color w:val="auto"/>
        </w:rPr>
      </w:pPr>
      <w:r>
        <w:rPr>
          <w:rFonts w:ascii="Times New Roman" w:cs="Times New Roman" w:eastAsia="Times New Roman" w:hAnsi="Times New Roman"/>
          <w:sz w:val="22"/>
          <w:szCs w:val="22"/>
          <w:color w:val="auto"/>
        </w:rPr>
        <w:t>Penalties for trading on or inappropriately communicating MNPI are severe, both for the individuals involved and their employers. A person can be subject to some or all of the penalties below, even if he or she does not personally benefit from the violations. Penalties include:</w:t>
      </w: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Page -28-</w:t>
      </w:r>
    </w:p>
    <w:p>
      <w:pPr>
        <w:spacing w:after="0" w:line="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803910</wp:posOffset>
            </wp:positionV>
            <wp:extent cx="71831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80"/>
          </w:cols>
          <w:pgMar w:left="900" w:top="1440" w:right="838" w:bottom="1440" w:gutter="0" w:footer="0" w:header="0"/>
        </w:sectPr>
      </w:pPr>
    </w:p>
    <w:bookmarkStart w:id="98" w:name="page99"/>
    <w:bookmarkEnd w:id="98"/>
    <w:p>
      <w:pPr>
        <w:spacing w:after="0" w:line="2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3947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0">
                      <a:extLst>
                        <a:ext uri="{28A0092B-C50C-407E-A947-70E740481C1C}"/>
                      </a:extLst>
                    </a:blip>
                    <a:srcRect/>
                    <a:stretch>
                      <a:fillRect/>
                    </a:stretch>
                  </pic:blipFill>
                  <pic:spPr bwMode="auto">
                    <a:xfrm>
                      <a:off x="0" y="0"/>
                      <a:ext cx="7162165" cy="8394700"/>
                    </a:xfrm>
                    <a:prstGeom prst="rect">
                      <a:avLst/>
                    </a:prstGeom>
                    <a:noFill/>
                  </pic:spPr>
                </pic:pic>
              </a:graphicData>
            </a:graphic>
          </wp:anchor>
        </w:drawing>
      </w:r>
    </w:p>
    <w:p>
      <w:pPr>
        <w:ind w:left="1727" w:hanging="344"/>
        <w:spacing w:after="0"/>
        <w:tabs>
          <w:tab w:leader="none" w:pos="1727"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injunctions;</w:t>
      </w:r>
    </w:p>
    <w:p>
      <w:pPr>
        <w:spacing w:after="0" w:line="29" w:lineRule="exact"/>
        <w:rPr>
          <w:rFonts w:ascii="Times New Roman" w:cs="Times New Roman" w:eastAsia="Times New Roman" w:hAnsi="Times New Roman"/>
          <w:sz w:val="22"/>
          <w:szCs w:val="22"/>
          <w:color w:val="auto"/>
        </w:rPr>
      </w:pPr>
    </w:p>
    <w:p>
      <w:pPr>
        <w:ind w:left="1727" w:hanging="344"/>
        <w:spacing w:after="0"/>
        <w:tabs>
          <w:tab w:leader="none" w:pos="1727"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disgorgement of profits;</w:t>
      </w:r>
    </w:p>
    <w:p>
      <w:pPr>
        <w:spacing w:after="0" w:line="18" w:lineRule="exact"/>
        <w:rPr>
          <w:rFonts w:ascii="Times New Roman" w:cs="Times New Roman" w:eastAsia="Times New Roman" w:hAnsi="Times New Roman"/>
          <w:sz w:val="22"/>
          <w:szCs w:val="22"/>
          <w:color w:val="auto"/>
        </w:rPr>
      </w:pPr>
    </w:p>
    <w:p>
      <w:pPr>
        <w:jc w:val="both"/>
        <w:ind w:left="1727" w:hanging="344"/>
        <w:spacing w:after="0" w:line="243" w:lineRule="auto"/>
        <w:tabs>
          <w:tab w:leader="none" w:pos="1727"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punitive damages (i.e., fines for the person who committed the violation of up to three (3) times the profit gained, or loss avoided, irrespective of whether the person actually benefited personally);</w:t>
      </w:r>
    </w:p>
    <w:p>
      <w:pPr>
        <w:spacing w:after="0" w:line="1" w:lineRule="exact"/>
        <w:rPr>
          <w:rFonts w:ascii="Times New Roman" w:cs="Times New Roman" w:eastAsia="Times New Roman" w:hAnsi="Times New Roman"/>
          <w:sz w:val="22"/>
          <w:szCs w:val="22"/>
          <w:color w:val="auto"/>
        </w:rPr>
      </w:pPr>
    </w:p>
    <w:p>
      <w:pPr>
        <w:ind w:left="1727" w:hanging="344"/>
        <w:spacing w:after="0"/>
        <w:tabs>
          <w:tab w:leader="none" w:pos="1727"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felony convictions which include possible jail sentences; and</w:t>
      </w:r>
    </w:p>
    <w:p>
      <w:pPr>
        <w:spacing w:after="0" w:line="29" w:lineRule="exact"/>
        <w:rPr>
          <w:rFonts w:ascii="Times New Roman" w:cs="Times New Roman" w:eastAsia="Times New Roman" w:hAnsi="Times New Roman"/>
          <w:sz w:val="22"/>
          <w:szCs w:val="22"/>
          <w:color w:val="auto"/>
        </w:rPr>
      </w:pPr>
    </w:p>
    <w:p>
      <w:pPr>
        <w:ind w:left="1727" w:hanging="344"/>
        <w:spacing w:after="0"/>
        <w:tabs>
          <w:tab w:leader="none" w:pos="1727"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fines and sanctions against the employer or other controlling person.</w:t>
      </w:r>
    </w:p>
    <w:p>
      <w:pPr>
        <w:spacing w:after="0" w:line="162" w:lineRule="exact"/>
        <w:rPr>
          <w:rFonts w:ascii="Times New Roman" w:cs="Times New Roman" w:eastAsia="Times New Roman" w:hAnsi="Times New Roman"/>
          <w:sz w:val="22"/>
          <w:szCs w:val="22"/>
          <w:color w:val="auto"/>
        </w:rPr>
      </w:pPr>
    </w:p>
    <w:p>
      <w:pPr>
        <w:ind w:left="687" w:hanging="687"/>
        <w:spacing w:after="0"/>
        <w:tabs>
          <w:tab w:leader="none" w:pos="687"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INSIDER TRADING PROCEDURES</w:t>
      </w:r>
    </w:p>
    <w:p>
      <w:pPr>
        <w:spacing w:after="0" w:line="210" w:lineRule="exact"/>
        <w:rPr>
          <w:rFonts w:ascii="Times New Roman" w:cs="Times New Roman" w:eastAsia="Times New Roman" w:hAnsi="Times New Roman"/>
          <w:sz w:val="22"/>
          <w:szCs w:val="22"/>
          <w:b w:val="1"/>
          <w:bCs w:val="1"/>
          <w:color w:val="auto"/>
        </w:rPr>
      </w:pPr>
    </w:p>
    <w:p>
      <w:pPr>
        <w:ind w:left="687"/>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The following procedures have been established to assist Supervised Persons in avoiding insider trading, and</w:t>
      </w:r>
    </w:p>
    <w:p>
      <w:pPr>
        <w:spacing w:after="0" w:line="26" w:lineRule="exact"/>
        <w:rPr>
          <w:sz w:val="20"/>
          <w:szCs w:val="20"/>
          <w:color w:val="auto"/>
        </w:rPr>
      </w:pPr>
    </w:p>
    <w:p>
      <w:pPr>
        <w:ind w:left="7"/>
        <w:spacing w:after="0" w:line="237" w:lineRule="auto"/>
        <w:rPr>
          <w:sz w:val="20"/>
          <w:szCs w:val="20"/>
          <w:color w:val="auto"/>
        </w:rPr>
      </w:pPr>
      <w:r>
        <w:rPr>
          <w:rFonts w:ascii="Times New Roman" w:cs="Times New Roman" w:eastAsia="Times New Roman" w:hAnsi="Times New Roman"/>
          <w:sz w:val="22"/>
          <w:szCs w:val="22"/>
          <w:color w:val="auto"/>
        </w:rPr>
        <w:t>to aid OFS Adviser in preventing, detecting, and imposing sanctions for insider trading. The following procedures should be read in conjunction with other policies set forth in this Code, and in the Compliance Policies.</w:t>
      </w:r>
    </w:p>
    <w:p>
      <w:pPr>
        <w:spacing w:after="0" w:line="66" w:lineRule="exact"/>
        <w:rPr>
          <w:sz w:val="20"/>
          <w:szCs w:val="20"/>
          <w:color w:val="auto"/>
        </w:rPr>
      </w:pPr>
    </w:p>
    <w:p>
      <w:pPr>
        <w:ind w:left="587"/>
        <w:spacing w:after="0"/>
        <w:rPr>
          <w:sz w:val="20"/>
          <w:szCs w:val="20"/>
          <w:color w:val="auto"/>
        </w:rPr>
      </w:pPr>
      <w:r>
        <w:rPr>
          <w:rFonts w:ascii="Times New Roman" w:cs="Times New Roman" w:eastAsia="Times New Roman" w:hAnsi="Times New Roman"/>
          <w:sz w:val="22"/>
          <w:szCs w:val="22"/>
          <w:b w:val="1"/>
          <w:bCs w:val="1"/>
          <w:color w:val="auto"/>
        </w:rPr>
        <w:t>1. Identifying MNPI</w:t>
      </w:r>
    </w:p>
    <w:p>
      <w:pPr>
        <w:spacing w:after="0" w:line="156" w:lineRule="exact"/>
        <w:rPr>
          <w:sz w:val="20"/>
          <w:szCs w:val="20"/>
          <w:color w:val="auto"/>
        </w:rPr>
      </w:pPr>
    </w:p>
    <w:p>
      <w:pPr>
        <w:ind w:left="7" w:firstLine="692"/>
        <w:spacing w:after="0" w:line="258" w:lineRule="auto"/>
        <w:rPr>
          <w:sz w:val="20"/>
          <w:szCs w:val="20"/>
          <w:color w:val="auto"/>
        </w:rPr>
      </w:pPr>
      <w:r>
        <w:rPr>
          <w:rFonts w:ascii="Times New Roman" w:cs="Times New Roman" w:eastAsia="Times New Roman" w:hAnsi="Times New Roman"/>
          <w:sz w:val="22"/>
          <w:szCs w:val="22"/>
          <w:color w:val="auto"/>
        </w:rPr>
        <w:t>Before trading in or placing bets on Securities of a company about which they may have potential MNPI, Supervised Persons should ask themselves the following questions:</w:t>
      </w:r>
    </w:p>
    <w:p>
      <w:pPr>
        <w:spacing w:after="0" w:line="293" w:lineRule="exact"/>
        <w:rPr>
          <w:sz w:val="20"/>
          <w:szCs w:val="20"/>
          <w:color w:val="auto"/>
        </w:rPr>
      </w:pPr>
    </w:p>
    <w:p>
      <w:pPr>
        <w:jc w:val="both"/>
        <w:ind w:left="1727" w:hanging="344"/>
        <w:spacing w:after="0" w:line="236" w:lineRule="auto"/>
        <w:tabs>
          <w:tab w:leader="none" w:pos="1727"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the information material? Is this information that an investor would consider important in making his or her investment decisions (e.g., whether the investor should buy, sell, or hold a Security)? Is this information that would substantially affect the market price of the Securities if generally disclosed?</w:t>
      </w:r>
    </w:p>
    <w:p>
      <w:pPr>
        <w:jc w:val="both"/>
        <w:ind w:left="1727" w:hanging="344"/>
        <w:spacing w:after="0" w:line="232" w:lineRule="auto"/>
        <w:tabs>
          <w:tab w:leader="none" w:pos="1727"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the information nonpublic? To whom has this information been provided? Has the information been effectively communicated to the marketplace by being published in </w:t>
      </w:r>
      <w:r>
        <w:rPr>
          <w:rFonts w:ascii="Times New Roman" w:cs="Times New Roman" w:eastAsia="Times New Roman" w:hAnsi="Times New Roman"/>
          <w:sz w:val="22"/>
          <w:szCs w:val="22"/>
          <w:u w:val="single" w:color="auto"/>
          <w:color w:val="auto"/>
        </w:rPr>
        <w:t>Reuters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Wall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Street Journal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Bloomberg,</w:t>
      </w:r>
      <w:r>
        <w:rPr>
          <w:rFonts w:ascii="Times New Roman" w:cs="Times New Roman" w:eastAsia="Times New Roman" w:hAnsi="Times New Roman"/>
          <w:sz w:val="22"/>
          <w:szCs w:val="22"/>
          <w:color w:val="auto"/>
        </w:rPr>
        <w:t xml:space="preserve"> or other publications of general circulation? Remember that information that has been communicated to a relatively large group of sophisticated investors does not by itself mean that the information is public (e.g., large group of potential bank debt investors during an </w:t>
      </w:r>
      <w:r>
        <w:rPr>
          <w:rFonts w:ascii="Times New Roman" w:cs="Times New Roman" w:eastAsia="Times New Roman" w:hAnsi="Times New Roman"/>
          <w:sz w:val="22"/>
          <w:szCs w:val="22"/>
          <w:i w:val="1"/>
          <w:iCs w:val="1"/>
          <w:color w:val="auto"/>
        </w:rPr>
        <w:t>invitation only</w:t>
      </w:r>
      <w:r>
        <w:rPr>
          <w:rFonts w:ascii="Times New Roman" w:cs="Times New Roman" w:eastAsia="Times New Roman" w:hAnsi="Times New Roman"/>
          <w:sz w:val="22"/>
          <w:szCs w:val="22"/>
          <w:color w:val="auto"/>
        </w:rPr>
        <w:t xml:space="preserve"> meeting).</w:t>
      </w:r>
    </w:p>
    <w:p>
      <w:pPr>
        <w:spacing w:after="0" w:line="340" w:lineRule="exact"/>
        <w:rPr>
          <w:rFonts w:ascii="Times New Roman" w:cs="Times New Roman" w:eastAsia="Times New Roman" w:hAnsi="Times New Roman"/>
          <w:sz w:val="22"/>
          <w:szCs w:val="22"/>
          <w:color w:val="auto"/>
        </w:rPr>
      </w:pPr>
    </w:p>
    <w:p>
      <w:pPr>
        <w:ind w:left="827" w:hanging="246"/>
        <w:spacing w:after="0"/>
        <w:tabs>
          <w:tab w:leader="none" w:pos="827"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Restricting Access to MNPI</w:t>
      </w:r>
    </w:p>
    <w:p>
      <w:pPr>
        <w:spacing w:after="0" w:line="156" w:lineRule="exact"/>
        <w:rPr>
          <w:sz w:val="20"/>
          <w:szCs w:val="20"/>
          <w:color w:val="auto"/>
        </w:rPr>
      </w:pPr>
    </w:p>
    <w:p>
      <w:pPr>
        <w:jc w:val="both"/>
        <w:ind w:left="7" w:firstLine="692"/>
        <w:spacing w:after="0" w:line="239" w:lineRule="auto"/>
        <w:rPr>
          <w:sz w:val="20"/>
          <w:szCs w:val="20"/>
          <w:color w:val="auto"/>
        </w:rPr>
      </w:pPr>
      <w:r>
        <w:rPr>
          <w:rFonts w:ascii="Times New Roman" w:cs="Times New Roman" w:eastAsia="Times New Roman" w:hAnsi="Times New Roman"/>
          <w:sz w:val="22"/>
          <w:szCs w:val="22"/>
          <w:color w:val="auto"/>
        </w:rPr>
        <w:t>Care should be taken so that MNPI is secure. For example, files containing MNPI should be sealed or locked; access to computer files containing MNPI should be restricted. As a general matter, materials containing such information should not be removed from the Firm’s premises and, if they are, appropriate measures should be maintained to protect the materials from loss or disclosure. Among other things, Supervised Persons should:</w:t>
      </w:r>
    </w:p>
    <w:p>
      <w:pPr>
        <w:spacing w:after="0" w:line="315" w:lineRule="exact"/>
        <w:rPr>
          <w:sz w:val="20"/>
          <w:szCs w:val="20"/>
          <w:color w:val="auto"/>
        </w:rPr>
      </w:pPr>
    </w:p>
    <w:p>
      <w:pPr>
        <w:ind w:left="1727" w:hanging="344"/>
        <w:spacing w:after="0"/>
        <w:tabs>
          <w:tab w:leader="none" w:pos="1727"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distribute materials containing MNPI only on a need-to-know” basis;</w:t>
      </w:r>
    </w:p>
    <w:p>
      <w:pPr>
        <w:spacing w:after="0" w:line="31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Page -29-</w:t>
      </w:r>
    </w:p>
    <w:p>
      <w:pPr>
        <w:spacing w:after="0" w:line="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803910</wp:posOffset>
            </wp:positionV>
            <wp:extent cx="71831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7"/>
          </w:cols>
          <w:pgMar w:left="893" w:top="1440" w:right="878" w:bottom="1440" w:gutter="0" w:footer="0" w:header="0"/>
        </w:sectPr>
      </w:pPr>
    </w:p>
    <w:bookmarkStart w:id="99" w:name="page100"/>
    <w:bookmarkEnd w:id="99"/>
    <w:p>
      <w:pPr>
        <w:spacing w:after="0" w:line="2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49757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2">
                      <a:extLst>
                        <a:ext uri="{28A0092B-C50C-407E-A947-70E740481C1C}"/>
                      </a:extLst>
                    </a:blip>
                    <a:srcRect/>
                    <a:stretch>
                      <a:fillRect/>
                    </a:stretch>
                  </pic:blipFill>
                  <pic:spPr bwMode="auto">
                    <a:xfrm>
                      <a:off x="0" y="0"/>
                      <a:ext cx="7162165" cy="8497570"/>
                    </a:xfrm>
                    <a:prstGeom prst="rect">
                      <a:avLst/>
                    </a:prstGeom>
                    <a:noFill/>
                  </pic:spPr>
                </pic:pic>
              </a:graphicData>
            </a:graphic>
          </wp:anchor>
        </w:drawing>
      </w:r>
    </w:p>
    <w:p>
      <w:pPr>
        <w:jc w:val="both"/>
        <w:ind w:left="1720" w:hanging="344"/>
        <w:spacing w:after="0" w:line="236" w:lineRule="auto"/>
        <w:tabs>
          <w:tab w:leader="none" w:pos="172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take care so that telephone conversations cannot be overheard when discussing matters involving MNPI (e.g., speaker telephones should generally be used in a way </w:t>
      </w:r>
      <w:r>
        <w:rPr>
          <w:rFonts w:ascii="Times New Roman" w:cs="Times New Roman" w:eastAsia="Times New Roman" w:hAnsi="Times New Roman"/>
          <w:sz w:val="19"/>
          <w:szCs w:val="19"/>
          <w:color w:val="auto"/>
        </w:rPr>
        <w:t>so that outsiders who might be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OFS Advisers’ offices are not inadvertently exposed to this information);</w:t>
      </w:r>
    </w:p>
    <w:p>
      <w:pPr>
        <w:spacing w:after="0" w:line="2" w:lineRule="exact"/>
        <w:rPr>
          <w:rFonts w:ascii="Times New Roman" w:cs="Times New Roman" w:eastAsia="Times New Roman" w:hAnsi="Times New Roman"/>
          <w:sz w:val="22"/>
          <w:szCs w:val="22"/>
          <w:color w:val="auto"/>
        </w:rPr>
      </w:pPr>
    </w:p>
    <w:p>
      <w:pPr>
        <w:ind w:left="1720" w:hanging="344"/>
        <w:spacing w:after="0" w:line="234" w:lineRule="auto"/>
        <w:tabs>
          <w:tab w:leader="none" w:pos="172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 access to offices and conference rooms when these rooms contain MNPI; and</w:t>
      </w:r>
    </w:p>
    <w:p>
      <w:pPr>
        <w:ind w:left="1720" w:right="380" w:hanging="344"/>
        <w:spacing w:after="0" w:line="237" w:lineRule="auto"/>
        <w:tabs>
          <w:tab w:leader="none" w:pos="172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leave materials containing MNPI displayed on the computer screen when they leave their computers unattended.</w:t>
      </w:r>
    </w:p>
    <w:p>
      <w:pPr>
        <w:spacing w:after="0" w:line="120" w:lineRule="exact"/>
        <w:rPr>
          <w:rFonts w:ascii="Times New Roman" w:cs="Times New Roman" w:eastAsia="Times New Roman" w:hAnsi="Times New Roman"/>
          <w:sz w:val="22"/>
          <w:szCs w:val="22"/>
          <w:color w:val="auto"/>
        </w:rPr>
      </w:pPr>
    </w:p>
    <w:p>
      <w:pPr>
        <w:ind w:left="820" w:hanging="246"/>
        <w:spacing w:after="0"/>
        <w:tabs>
          <w:tab w:leader="none" w:pos="82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Review and Dissemination of Certain Investment Related Information</w:t>
      </w:r>
    </w:p>
    <w:p>
      <w:pPr>
        <w:spacing w:after="0" w:line="156" w:lineRule="exact"/>
        <w:rPr>
          <w:sz w:val="20"/>
          <w:szCs w:val="20"/>
          <w:color w:val="auto"/>
        </w:rPr>
      </w:pPr>
    </w:p>
    <w:p>
      <w:pPr>
        <w:jc w:val="both"/>
        <w:ind w:firstLine="692"/>
        <w:spacing w:after="0" w:line="233" w:lineRule="auto"/>
        <w:rPr>
          <w:sz w:val="20"/>
          <w:szCs w:val="20"/>
          <w:color w:val="auto"/>
        </w:rPr>
      </w:pPr>
      <w:r>
        <w:rPr>
          <w:rFonts w:ascii="Times New Roman" w:cs="Times New Roman" w:eastAsia="Times New Roman" w:hAnsi="Times New Roman"/>
          <w:sz w:val="22"/>
          <w:szCs w:val="22"/>
          <w:color w:val="auto"/>
        </w:rPr>
        <w:t>As part of its consideration of certain investments, including in certain types of “non-Securities” (e.g., bank debt instruments), the Firm may enter into confidentiality agreements with third parties (e.g., issuers, sponsors, syndicate members or other lenders) that could have implications for the Firm’s compliance with federal securities laws. Those agreements may sometimes contain so-called “stand- still” provisions, which specifically restrict the Firm’s activity in Securities of identified issuers, but more typically simply raise the possibility that nonpublic information may be disclosed to the recipient and seek the receiving party’s acknowledgment of that understanding and agreement not to disclose any MNPI transmitted. The procedures for executing confidentiality agreements are set forth in the Firm’s Confidentiality Policy. Many potential counterparties or their agents specifically require that potential investors sign a confidentiality agreement before they will be provided access to investment- related information. Because of the importance of our policies regarding access to and use of confidential information, confidentiality agreements may only be reviewed, negotiated, and executed as set forth in the Firm’s Confidentiality Policy.</w:t>
      </w:r>
    </w:p>
    <w:p>
      <w:pPr>
        <w:spacing w:after="0" w:line="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4. Determination of Materiality</w:t>
      </w:r>
    </w:p>
    <w:p>
      <w:pPr>
        <w:spacing w:after="0" w:line="156" w:lineRule="exact"/>
        <w:rPr>
          <w:sz w:val="20"/>
          <w:szCs w:val="20"/>
          <w:color w:val="auto"/>
        </w:rPr>
      </w:pPr>
    </w:p>
    <w:p>
      <w:pPr>
        <w:jc w:val="both"/>
        <w:ind w:firstLine="692"/>
        <w:spacing w:after="0" w:line="235" w:lineRule="auto"/>
        <w:rPr>
          <w:sz w:val="20"/>
          <w:szCs w:val="20"/>
          <w:color w:val="auto"/>
        </w:rPr>
      </w:pPr>
      <w:r>
        <w:rPr>
          <w:rFonts w:ascii="Times New Roman" w:cs="Times New Roman" w:eastAsia="Times New Roman" w:hAnsi="Times New Roman"/>
          <w:sz w:val="22"/>
          <w:szCs w:val="22"/>
          <w:color w:val="auto"/>
        </w:rPr>
        <w:t>Given the unique asset classes in which OFS Adviser typically invests, Supervised Persons may receive detailed information about a Security that may not be otherwise readily available to the investing public. The issue of “materiality” and the ultimate determination as to whether the information provided rises to the level of MNPI should not be made independently by a Supervised Person. Rather, the employee should contact the Compliance Department to conduct a materiality assessment and an informed determination may be made. Unless otherwise determined by the Compliance Department, in consultation with investment staff and outside legal counsel, as appropriate, information received about a publicly-traded Security that is not readily available to the investing public shall be deemed to be and treated as material.</w:t>
      </w:r>
    </w:p>
    <w:p>
      <w:pPr>
        <w:spacing w:after="0" w:line="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5. Use of Expert Networks</w:t>
      </w:r>
    </w:p>
    <w:p>
      <w:pPr>
        <w:spacing w:after="0" w:line="156" w:lineRule="exact"/>
        <w:rPr>
          <w:sz w:val="20"/>
          <w:szCs w:val="20"/>
          <w:color w:val="auto"/>
        </w:rPr>
      </w:pPr>
    </w:p>
    <w:p>
      <w:pPr>
        <w:jc w:val="both"/>
        <w:ind w:firstLine="692"/>
        <w:spacing w:after="0" w:line="236" w:lineRule="auto"/>
        <w:rPr>
          <w:sz w:val="20"/>
          <w:szCs w:val="20"/>
          <w:color w:val="auto"/>
        </w:rPr>
      </w:pPr>
      <w:r>
        <w:rPr>
          <w:rFonts w:ascii="Times New Roman" w:cs="Times New Roman" w:eastAsia="Times New Roman" w:hAnsi="Times New Roman"/>
          <w:sz w:val="22"/>
          <w:szCs w:val="22"/>
          <w:color w:val="auto"/>
        </w:rPr>
        <w:t>While it is permissible to utilize Expert Networks, which provide information, advice, analysis, market expertise or industry experience for use in the due diligence process of a potential investment, formulating investment views or on-going oversight of current investments, OFS Adviser must be particularly sensitive about the information that these Expert Networks provide. Accordingly, OFS Adviser has adopted an Expert Network Policy which governs the contact and interaction with Expert Networks, and requires Supervised Persons to obtain preapproval from the Compliance Department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-30-</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803910</wp:posOffset>
            </wp:positionV>
            <wp:extent cx="71831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0"/>
          </w:cols>
          <w:pgMar w:left="900" w:top="1440" w:right="878" w:bottom="1440" w:gutter="0" w:footer="0" w:header="0"/>
        </w:sectPr>
      </w:pPr>
    </w:p>
    <w:bookmarkStart w:id="100" w:name="page101"/>
    <w:bookmarkEnd w:id="100"/>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652589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4">
                      <a:extLst>
                        <a:ext uri="{28A0092B-C50C-407E-A947-70E740481C1C}"/>
                      </a:extLst>
                    </a:blip>
                    <a:srcRect/>
                    <a:stretch>
                      <a:fillRect/>
                    </a:stretch>
                  </pic:blipFill>
                  <pic:spPr bwMode="auto">
                    <a:xfrm>
                      <a:off x="0" y="0"/>
                      <a:ext cx="7162165" cy="6525895"/>
                    </a:xfrm>
                    <a:prstGeom prst="rect">
                      <a:avLst/>
                    </a:prstGeom>
                    <a:noFill/>
                  </pic:spPr>
                </pic:pic>
              </a:graphicData>
            </a:graphic>
          </wp:anchor>
        </w:drawing>
      </w:r>
    </w:p>
    <w:p>
      <w:pPr>
        <w:jc w:val="both"/>
        <w:ind w:right="120"/>
        <w:spacing w:after="0" w:line="239" w:lineRule="auto"/>
        <w:rPr>
          <w:sz w:val="20"/>
          <w:szCs w:val="20"/>
          <w:color w:val="auto"/>
        </w:rPr>
      </w:pPr>
      <w:r>
        <w:rPr>
          <w:rFonts w:ascii="Times New Roman" w:cs="Times New Roman" w:eastAsia="Times New Roman" w:hAnsi="Times New Roman"/>
          <w:sz w:val="22"/>
          <w:szCs w:val="22"/>
          <w:color w:val="auto"/>
        </w:rPr>
        <w:t>before engaging an Expert Network. OFS Adviser’s Expert Network Policy is hereby incorporated into this Code by reference. Those Supervised Person who have been approved to use Expert Networks are required to fully comply with all policies, procedures, certifications and training requirements associated with the Expert Network Policy, and any instance of non-compliance will likely constitute a violation of the Code.</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6. Value-Added Investors</w:t>
      </w:r>
    </w:p>
    <w:p>
      <w:pPr>
        <w:spacing w:after="0" w:line="156" w:lineRule="exact"/>
        <w:rPr>
          <w:sz w:val="20"/>
          <w:szCs w:val="20"/>
          <w:color w:val="auto"/>
        </w:rPr>
      </w:pPr>
    </w:p>
    <w:p>
      <w:pPr>
        <w:jc w:val="both"/>
        <w:ind w:right="120" w:firstLine="692"/>
        <w:spacing w:after="0" w:line="238" w:lineRule="auto"/>
        <w:rPr>
          <w:sz w:val="20"/>
          <w:szCs w:val="20"/>
          <w:color w:val="auto"/>
        </w:rPr>
      </w:pPr>
      <w:r>
        <w:rPr>
          <w:rFonts w:ascii="Times New Roman" w:cs="Times New Roman" w:eastAsia="Times New Roman" w:hAnsi="Times New Roman"/>
          <w:sz w:val="22"/>
          <w:szCs w:val="22"/>
          <w:color w:val="auto"/>
        </w:rPr>
        <w:t>Certain investors, who are affiliated with public companies, can pose additional risk for Supervised Persons’ exposure to MNPI. The SEC has coined the term “value-added investors” (“VAIs”) to refer to these types of investors. VAIs are investors with whom OFS Advisor has direct contact (i.e., those investors of OFS Advisory Clients with whom OFS Advisor has ongoing relationships and not investors who interact with OFS Advisor for “one off” purposes) and are:</w:t>
      </w:r>
    </w:p>
    <w:p>
      <w:pPr>
        <w:spacing w:after="0" w:line="352" w:lineRule="exact"/>
        <w:rPr>
          <w:sz w:val="20"/>
          <w:szCs w:val="20"/>
          <w:color w:val="auto"/>
        </w:rPr>
      </w:pPr>
    </w:p>
    <w:p>
      <w:pPr>
        <w:ind w:left="1260" w:hanging="340"/>
        <w:spacing w:after="0" w:line="249" w:lineRule="auto"/>
        <w:tabs>
          <w:tab w:leader="none" w:pos="12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 company executives, officers, directors, or corporate insiders who may possess or have access to MNPI due to their position; and</w:t>
      </w:r>
    </w:p>
    <w:p>
      <w:pPr>
        <w:jc w:val="both"/>
        <w:ind w:left="1260" w:hanging="340"/>
        <w:spacing w:after="0" w:line="239" w:lineRule="auto"/>
        <w:tabs>
          <w:tab w:leader="none" w:pos="12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principals or portfolio managers at investment firms such as hedge funds, investment advisers, broker-dealers, or investment banks who may possess or have access to MNPI due to the nature of their position.</w:t>
      </w:r>
    </w:p>
    <w:p>
      <w:pPr>
        <w:spacing w:after="0" w:line="42" w:lineRule="exact"/>
        <w:rPr>
          <w:sz w:val="20"/>
          <w:szCs w:val="20"/>
          <w:color w:val="auto"/>
        </w:rPr>
      </w:pPr>
    </w:p>
    <w:p>
      <w:pPr>
        <w:jc w:val="both"/>
        <w:ind w:right="120"/>
        <w:spacing w:after="0" w:line="251" w:lineRule="auto"/>
        <w:rPr>
          <w:sz w:val="20"/>
          <w:szCs w:val="20"/>
          <w:color w:val="auto"/>
        </w:rPr>
      </w:pPr>
      <w:r>
        <w:rPr>
          <w:rFonts w:ascii="Times New Roman" w:cs="Times New Roman" w:eastAsia="Times New Roman" w:hAnsi="Times New Roman"/>
          <w:sz w:val="21"/>
          <w:szCs w:val="21"/>
          <w:color w:val="auto"/>
        </w:rPr>
        <w:t>The Compliance Department maintains a VAI List. Certain OFS Supervised Persons who are responsible for interfacing with VAIs (“OFS VAI Contacts”) will promptly contact the Compliance Department if they become aware of a VAI and/or provide updates to the VAI List and attest to their compliance with the VAI policy on a quarterly basis. The Compliance Department will assess the names on the VAI List and request additional information, as necessary, and add those issuers identified as associated with a VAI to the Watch List, as appropriate.</w:t>
      </w:r>
    </w:p>
    <w:p>
      <w:pPr>
        <w:spacing w:after="0" w:line="60"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22"/>
          <w:szCs w:val="22"/>
          <w:color w:val="auto"/>
        </w:rPr>
        <w:t>If you become aware of a current or prospective investor that could be considered a VAI or have questions regarding this policy, please contact the Compliance Department.</w:t>
      </w:r>
    </w:p>
    <w:p>
      <w:pPr>
        <w:spacing w:after="0" w:line="37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Page -31-</w:t>
      </w:r>
    </w:p>
    <w:p>
      <w:pPr>
        <w:spacing w:after="0" w:line="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803910</wp:posOffset>
            </wp:positionV>
            <wp:extent cx="71831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260"/>
          </w:cols>
          <w:pgMar w:left="900" w:top="1440" w:right="758" w:bottom="1440" w:gutter="0" w:footer="0" w:header="0"/>
        </w:sectPr>
      </w:pPr>
    </w:p>
    <w:bookmarkStart w:id="101" w:name="page102"/>
    <w:bookmarkEnd w:id="101"/>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743458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6">
                      <a:extLst>
                        <a:ext uri="{28A0092B-C50C-407E-A947-70E740481C1C}"/>
                      </a:extLst>
                    </a:blip>
                    <a:srcRect/>
                    <a:stretch>
                      <a:fillRect/>
                    </a:stretch>
                  </pic:blipFill>
                  <pic:spPr bwMode="auto">
                    <a:xfrm>
                      <a:off x="0" y="0"/>
                      <a:ext cx="7162165" cy="7434580"/>
                    </a:xfrm>
                    <a:prstGeom prst="rect">
                      <a:avLst/>
                    </a:prstGeom>
                    <a:noFill/>
                  </pic:spPr>
                </pic:pic>
              </a:graphicData>
            </a:graphic>
          </wp:anchor>
        </w:drawing>
      </w:r>
    </w:p>
    <w:p>
      <w:pPr>
        <w:jc w:val="center"/>
        <w:ind w:left="1840"/>
        <w:spacing w:after="0"/>
        <w:tabs>
          <w:tab w:leader="none" w:pos="38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u w:val="single" w:color="auto"/>
          <w:color w:val="auto"/>
        </w:rPr>
        <w:t>GIFTS, ENTERTAINMENT AND POLITICAL ACTIVITIES</w:t>
      </w:r>
    </w:p>
    <w:p>
      <w:pPr>
        <w:spacing w:after="0" w:line="206" w:lineRule="exact"/>
        <w:rPr>
          <w:sz w:val="20"/>
          <w:szCs w:val="20"/>
          <w:color w:val="auto"/>
        </w:rPr>
      </w:pPr>
    </w:p>
    <w:p>
      <w:pPr>
        <w:ind w:left="687" w:hanging="687"/>
        <w:spacing w:after="0"/>
        <w:tabs>
          <w:tab w:leader="none" w:pos="687"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210" w:lineRule="exact"/>
        <w:rPr>
          <w:sz w:val="20"/>
          <w:szCs w:val="20"/>
          <w:color w:val="auto"/>
        </w:rPr>
      </w:pPr>
    </w:p>
    <w:p>
      <w:pPr>
        <w:ind w:left="7" w:firstLine="692"/>
        <w:spacing w:after="0" w:line="258" w:lineRule="auto"/>
        <w:rPr>
          <w:sz w:val="20"/>
          <w:szCs w:val="20"/>
          <w:color w:val="auto"/>
        </w:rPr>
      </w:pPr>
      <w:r>
        <w:rPr>
          <w:rFonts w:ascii="Times New Roman" w:cs="Times New Roman" w:eastAsia="Times New Roman" w:hAnsi="Times New Roman"/>
          <w:sz w:val="22"/>
          <w:szCs w:val="22"/>
          <w:color w:val="auto"/>
        </w:rPr>
        <w:t>OFS Adviser attempts to minimize any activity that might give rise to a question as to whether the Firm’s objectivity as a fiduciary has been compromised.</w:t>
      </w:r>
    </w:p>
    <w:p>
      <w:pPr>
        <w:spacing w:after="0" w:line="46" w:lineRule="exact"/>
        <w:rPr>
          <w:sz w:val="20"/>
          <w:szCs w:val="20"/>
          <w:color w:val="auto"/>
        </w:rPr>
      </w:pPr>
    </w:p>
    <w:p>
      <w:pPr>
        <w:ind w:left="687" w:hanging="687"/>
        <w:spacing w:after="0"/>
        <w:tabs>
          <w:tab w:leader="none" w:pos="687"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GIFTS AND ENTERTAINMENT POLICY</w:t>
      </w:r>
    </w:p>
    <w:p>
      <w:pPr>
        <w:spacing w:after="0" w:line="210" w:lineRule="exact"/>
        <w:rPr>
          <w:sz w:val="20"/>
          <w:szCs w:val="20"/>
          <w:color w:val="auto"/>
        </w:rPr>
      </w:pPr>
    </w:p>
    <w:p>
      <w:pPr>
        <w:jc w:val="both"/>
        <w:ind w:left="7" w:firstLine="692"/>
        <w:spacing w:after="0" w:line="239" w:lineRule="auto"/>
        <w:rPr>
          <w:sz w:val="20"/>
          <w:szCs w:val="20"/>
          <w:color w:val="auto"/>
        </w:rPr>
      </w:pPr>
      <w:r>
        <w:rPr>
          <w:rFonts w:ascii="Times New Roman" w:cs="Times New Roman" w:eastAsia="Times New Roman" w:hAnsi="Times New Roman"/>
          <w:sz w:val="22"/>
          <w:szCs w:val="22"/>
          <w:color w:val="auto"/>
        </w:rPr>
        <w:t>One possible area of fiduciary concern relates to providing or receiving meals, gifts, entertainment or anything of value from third parties with which OFS Adviser or its Advisory Clients do business, including each OFS Fund, joint business partners, service providers and current and prospective clients (collectively “Outside Parties” and each an “Outside Party”).</w:t>
      </w:r>
    </w:p>
    <w:p>
      <w:pPr>
        <w:spacing w:after="0" w:line="72" w:lineRule="exact"/>
        <w:rPr>
          <w:sz w:val="20"/>
          <w:szCs w:val="20"/>
          <w:color w:val="auto"/>
        </w:rPr>
      </w:pPr>
    </w:p>
    <w:p>
      <w:pPr>
        <w:jc w:val="both"/>
        <w:ind w:left="7" w:firstLine="692"/>
        <w:spacing w:after="0" w:line="233" w:lineRule="auto"/>
        <w:rPr>
          <w:sz w:val="20"/>
          <w:szCs w:val="20"/>
          <w:color w:val="auto"/>
        </w:rPr>
      </w:pPr>
      <w:r>
        <w:rPr>
          <w:rFonts w:ascii="Times New Roman" w:cs="Times New Roman" w:eastAsia="Times New Roman" w:hAnsi="Times New Roman"/>
          <w:sz w:val="22"/>
          <w:szCs w:val="22"/>
          <w:color w:val="auto"/>
        </w:rPr>
        <w:t>Supervised Persons are prohibited from soliciting anything of value from Outside Parties, unless pre-approved by Compliance in writing. Further, no Supervised Person may give or receive any gift, meal or entertainment that could or is intended to influence decision-making or to make a person beholden, in any way, to another person or company that seeks to do or is currently doing business with the Firm or its Advisory Clients. Lavish or luxurious gifts and entertainment, and gifts and entertainment that are received or provided on a frequent basis, are generally deemed to meet this standard and, unless a Compliance Officer indicates otherwise, are prohibited. In addition, depending upon a Supervised Person’s responsibilities, specific regulatory requirements may dictate the types and extent of gifts and entertainment that Supervised Persons may give or receive. The Firm is committed to competing solely on the merit of its products and services, and Supervised Persons should avoid any actions that create a perception that favorable treatment of Outside Parties by the Firm was sought, received or given in exchange for a particular decision or action.</w:t>
      </w:r>
    </w:p>
    <w:p>
      <w:pPr>
        <w:spacing w:after="0" w:line="75" w:lineRule="exact"/>
        <w:rPr>
          <w:sz w:val="20"/>
          <w:szCs w:val="20"/>
          <w:color w:val="auto"/>
        </w:rPr>
      </w:pPr>
    </w:p>
    <w:p>
      <w:pPr>
        <w:ind w:left="587"/>
        <w:spacing w:after="0"/>
        <w:rPr>
          <w:sz w:val="20"/>
          <w:szCs w:val="20"/>
          <w:color w:val="auto"/>
        </w:rPr>
      </w:pPr>
      <w:r>
        <w:rPr>
          <w:rFonts w:ascii="Times New Roman" w:cs="Times New Roman" w:eastAsia="Times New Roman" w:hAnsi="Times New Roman"/>
          <w:sz w:val="22"/>
          <w:szCs w:val="22"/>
          <w:b w:val="1"/>
          <w:bCs w:val="1"/>
          <w:color w:val="auto"/>
        </w:rPr>
        <w:t>1. Business Meals</w:t>
      </w:r>
    </w:p>
    <w:p>
      <w:pPr>
        <w:spacing w:after="0" w:line="156" w:lineRule="exact"/>
        <w:rPr>
          <w:sz w:val="20"/>
          <w:szCs w:val="20"/>
          <w:color w:val="auto"/>
        </w:rPr>
      </w:pPr>
    </w:p>
    <w:p>
      <w:pPr>
        <w:jc w:val="both"/>
        <w:ind w:left="7" w:firstLine="692"/>
        <w:spacing w:after="0" w:line="236" w:lineRule="auto"/>
        <w:rPr>
          <w:sz w:val="20"/>
          <w:szCs w:val="20"/>
          <w:color w:val="auto"/>
        </w:rPr>
      </w:pPr>
      <w:r>
        <w:rPr>
          <w:rFonts w:ascii="Times New Roman" w:cs="Times New Roman" w:eastAsia="Times New Roman" w:hAnsi="Times New Roman"/>
          <w:sz w:val="22"/>
          <w:szCs w:val="22"/>
          <w:color w:val="auto"/>
        </w:rPr>
        <w:t xml:space="preserve">Generally, Supervised Persons may share food and beverages (meals) with Outside Parties in the ordinary course of business. </w:t>
      </w:r>
      <w:r>
        <w:rPr>
          <w:rFonts w:ascii="Times New Roman" w:cs="Times New Roman" w:eastAsia="Times New Roman" w:hAnsi="Times New Roman"/>
          <w:sz w:val="22"/>
          <w:szCs w:val="22"/>
          <w:b w:val="1"/>
          <w:bCs w:val="1"/>
          <w:color w:val="auto"/>
        </w:rPr>
        <w:t>Meals received by Supervised Persons from Outside Parties should not exceed $300 per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person per meal, unless preapproved by Compliance. Meals provided by Supervised Persons to Outside Parties are generally permissible and should also not exceed $300 per person per meal, unless preapproved by Compliance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No food or beverage should be provided to Public Officials without preclearance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preapproval by Compliance</w:t>
      </w:r>
      <w:r>
        <w:rPr>
          <w:rFonts w:ascii="Times New Roman" w:cs="Times New Roman" w:eastAsia="Times New Roman" w:hAnsi="Times New Roman"/>
          <w:sz w:val="22"/>
          <w:szCs w:val="22"/>
          <w:b w:val="1"/>
          <w:bCs w:val="1"/>
          <w:color w:val="auto"/>
        </w:rPr>
        <w:t>.</w:t>
      </w:r>
    </w:p>
    <w:p>
      <w:pPr>
        <w:spacing w:after="0" w:line="39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Page -32-</w:t>
      </w:r>
    </w:p>
    <w:p>
      <w:pPr>
        <w:spacing w:after="0" w:line="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812800</wp:posOffset>
            </wp:positionV>
            <wp:extent cx="71831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7"/>
          </w:cols>
          <w:pgMar w:left="893" w:top="1440" w:right="878" w:bottom="1440" w:gutter="0" w:footer="0" w:header="0"/>
        </w:sectPr>
      </w:pPr>
    </w:p>
    <w:bookmarkStart w:id="102" w:name="page103"/>
    <w:bookmarkEnd w:id="102"/>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6944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8">
                      <a:extLst>
                        <a:ext uri="{28A0092B-C50C-407E-A947-70E740481C1C}"/>
                      </a:extLst>
                    </a:blip>
                    <a:srcRect/>
                    <a:stretch>
                      <a:fillRect/>
                    </a:stretch>
                  </pic:blipFill>
                  <pic:spPr bwMode="auto">
                    <a:xfrm>
                      <a:off x="0" y="0"/>
                      <a:ext cx="7162165" cy="8694420"/>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22"/>
          <w:szCs w:val="22"/>
          <w:b w:val="1"/>
          <w:bCs w:val="1"/>
          <w:color w:val="auto"/>
        </w:rPr>
        <w:t>2. Providing Business Gifts</w:t>
      </w:r>
    </w:p>
    <w:p>
      <w:pPr>
        <w:spacing w:after="0" w:line="156" w:lineRule="exact"/>
        <w:rPr>
          <w:sz w:val="20"/>
          <w:szCs w:val="20"/>
          <w:color w:val="auto"/>
        </w:rPr>
      </w:pPr>
    </w:p>
    <w:p>
      <w:pPr>
        <w:jc w:val="both"/>
        <w:ind w:firstLine="692"/>
        <w:spacing w:after="0" w:line="244" w:lineRule="auto"/>
        <w:rPr>
          <w:sz w:val="20"/>
          <w:szCs w:val="20"/>
          <w:color w:val="auto"/>
        </w:rPr>
      </w:pPr>
      <w:r>
        <w:rPr>
          <w:rFonts w:ascii="Times New Roman" w:cs="Times New Roman" w:eastAsia="Times New Roman" w:hAnsi="Times New Roman"/>
          <w:sz w:val="21"/>
          <w:szCs w:val="21"/>
          <w:color w:val="auto"/>
        </w:rPr>
        <w:t xml:space="preserve">Any Supervised Person who offers a gift to an Outside Party must be sure that it cannot reasonably be interpreted as an attempt to gain an unfair business advantage or otherwise reflect negatively upon the Firm. In addition, a Supervised Person may never use personal funds or resources to do something that cannot be done with Firm resources. A gift may include any services or merchandise of any kind or discounts on merchandise or services and other items of value. </w:t>
      </w:r>
      <w:r>
        <w:rPr>
          <w:rFonts w:ascii="Times New Roman" w:cs="Times New Roman" w:eastAsia="Times New Roman" w:hAnsi="Times New Roman"/>
          <w:sz w:val="21"/>
          <w:szCs w:val="21"/>
          <w:b w:val="1"/>
          <w:bCs w:val="1"/>
          <w:color w:val="auto"/>
        </w:rPr>
        <w:t>Generally, Supervised Persons are prohibited from giving gifts of cash, cash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equivalents (such as gift cards and gift certificates) and securities to Outside Parties</w:t>
      </w:r>
      <w:r>
        <w:rPr>
          <w:rFonts w:ascii="Times New Roman" w:cs="Times New Roman" w:eastAsia="Times New Roman" w:hAnsi="Times New Roman"/>
          <w:sz w:val="21"/>
          <w:szCs w:val="21"/>
          <w:color w:val="auto"/>
        </w:rPr>
        <w:t>. This policy does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prohibit the provision of occasional or nominal non-cash gift items, such as holiday gifts, to Outside Parties so long as the amount provided by a Supervised Person to any one recipient over a calendar year does not exceed $300.</w:t>
      </w:r>
    </w:p>
    <w:p>
      <w:pPr>
        <w:spacing w:after="0" w:line="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Once the aggregate amount proposed to be provided by a Supervised Person to any one recipient during one calendar year exceeds $300, that Supervised Person must submit a preclearance request and obtain preapproval via the Firm’s compliance portal. Further, anything of value (e.g., meals, beverages, gifts, and entertainment) to be provided to Public Officials requires preclearance approval via the Firm’s compliance portal</w:t>
      </w:r>
      <w:r>
        <w:rPr>
          <w:rFonts w:ascii="Times New Roman" w:cs="Times New Roman" w:eastAsia="Times New Roman" w:hAnsi="Times New Roman"/>
          <w:sz w:val="22"/>
          <w:szCs w:val="22"/>
          <w:color w:val="auto"/>
        </w:rPr>
        <w:t>.</w:t>
      </w:r>
    </w:p>
    <w:p>
      <w:pPr>
        <w:spacing w:after="0" w:line="71" w:lineRule="exact"/>
        <w:rPr>
          <w:sz w:val="20"/>
          <w:szCs w:val="20"/>
          <w:color w:val="auto"/>
        </w:rPr>
      </w:pPr>
    </w:p>
    <w:p>
      <w:pPr>
        <w:jc w:val="both"/>
        <w:ind w:firstLine="692"/>
        <w:spacing w:after="0" w:line="258" w:lineRule="auto"/>
        <w:rPr>
          <w:sz w:val="20"/>
          <w:szCs w:val="20"/>
          <w:color w:val="auto"/>
        </w:rPr>
      </w:pPr>
      <w:r>
        <w:rPr>
          <w:rFonts w:ascii="Times New Roman" w:cs="Times New Roman" w:eastAsia="Times New Roman" w:hAnsi="Times New Roman"/>
          <w:sz w:val="22"/>
          <w:szCs w:val="22"/>
          <w:color w:val="auto"/>
        </w:rPr>
        <w:t>The Compliance Department shall periodically review gifts provided for compliance with this Code as part of quarterly expense reimbursement review process.</w:t>
      </w:r>
    </w:p>
    <w:p>
      <w:pPr>
        <w:spacing w:after="0" w:line="50" w:lineRule="exact"/>
        <w:rPr>
          <w:sz w:val="20"/>
          <w:szCs w:val="20"/>
          <w:color w:val="auto"/>
        </w:rPr>
      </w:pPr>
    </w:p>
    <w:p>
      <w:pPr>
        <w:jc w:val="both"/>
        <w:ind w:firstLine="692"/>
        <w:spacing w:after="0" w:line="258" w:lineRule="auto"/>
        <w:rPr>
          <w:sz w:val="20"/>
          <w:szCs w:val="20"/>
          <w:color w:val="auto"/>
        </w:rPr>
      </w:pPr>
      <w:r>
        <w:rPr>
          <w:rFonts w:ascii="Times New Roman" w:cs="Times New Roman" w:eastAsia="Times New Roman" w:hAnsi="Times New Roman"/>
          <w:sz w:val="22"/>
          <w:szCs w:val="22"/>
          <w:color w:val="auto"/>
        </w:rPr>
        <w:t>If you are unsure of OFS Adviser’s policy with respect to providing gifts in any circumstance, you should consult with a Compliance Officer.</w:t>
      </w:r>
    </w:p>
    <w:p>
      <w:pPr>
        <w:spacing w:after="0" w:line="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3. Receiving Business Gifts</w:t>
      </w:r>
    </w:p>
    <w:p>
      <w:pPr>
        <w:spacing w:after="0" w:line="156" w:lineRule="exact"/>
        <w:rPr>
          <w:sz w:val="20"/>
          <w:szCs w:val="20"/>
          <w:color w:val="auto"/>
        </w:rPr>
      </w:pPr>
    </w:p>
    <w:p>
      <w:pPr>
        <w:jc w:val="both"/>
        <w:ind w:firstLine="692"/>
        <w:spacing w:after="0" w:line="233" w:lineRule="auto"/>
        <w:rPr>
          <w:sz w:val="20"/>
          <w:szCs w:val="20"/>
          <w:color w:val="auto"/>
        </w:rPr>
      </w:pPr>
      <w:r>
        <w:rPr>
          <w:rFonts w:ascii="Times New Roman" w:cs="Times New Roman" w:eastAsia="Times New Roman" w:hAnsi="Times New Roman"/>
          <w:sz w:val="22"/>
          <w:szCs w:val="22"/>
          <w:color w:val="auto"/>
        </w:rPr>
        <w:t xml:space="preserve">No Supervised Person should obtain any material personal benefits or favors because of his or her position with the Firm. Each Supervised Person’s decisions on behalf of the Firm must be free from undue influence. Soliciting gifts from Outside Parties is strictly prohibited. A gift may include any services or merchandise of any kind or discounts on merchandise or services and other items of value. Supervised Persons are prohibited from receiving gifts of cash, cash equivalents (such as gift cards and gift certificates) and securities from Outside Parties. This policy does not prohibit the receipt of occasional or nominal non-cash gift items, such as holiday gifts, so long as the amount received by a Supervised Person from any one source over a calendar year does not exceed $300. </w:t>
      </w:r>
      <w:r>
        <w:rPr>
          <w:rFonts w:ascii="Times New Roman" w:cs="Times New Roman" w:eastAsia="Times New Roman" w:hAnsi="Times New Roman"/>
          <w:sz w:val="22"/>
          <w:szCs w:val="22"/>
          <w:b w:val="1"/>
          <w:bCs w:val="1"/>
          <w:color w:val="auto"/>
        </w:rPr>
        <w:t>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gift that will cause the total received by that Supervised Person from a single source to exceed $300 for the calendar year, and any additional gift thereafter received during the calendar year, requires preclearance by a Compliance Officer. Also, one of the following actions will generally be required: return the gift, donate the gift to charity or to OFS for a corporate raffle or keep the gift and write a check to charity for the difference between the fair market value of the gift and $300. </w:t>
      </w:r>
      <w:r>
        <w:rPr>
          <w:rFonts w:ascii="Times New Roman" w:cs="Times New Roman" w:eastAsia="Times New Roman" w:hAnsi="Times New Roman"/>
          <w:sz w:val="22"/>
          <w:szCs w:val="22"/>
          <w:color w:val="auto"/>
        </w:rPr>
        <w:t>Such requests should be submitted via the Firm’s compliance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portal.</w:t>
      </w:r>
    </w:p>
    <w:p>
      <w:pPr>
        <w:spacing w:after="0" w:line="70" w:lineRule="exact"/>
        <w:rPr>
          <w:sz w:val="20"/>
          <w:szCs w:val="20"/>
          <w:color w:val="auto"/>
        </w:rPr>
      </w:pPr>
    </w:p>
    <w:p>
      <w:pPr>
        <w:jc w:val="both"/>
        <w:ind w:firstLine="692"/>
        <w:spacing w:after="0" w:line="246" w:lineRule="auto"/>
        <w:rPr>
          <w:sz w:val="20"/>
          <w:szCs w:val="20"/>
          <w:color w:val="auto"/>
        </w:rPr>
      </w:pPr>
      <w:r>
        <w:rPr>
          <w:rFonts w:ascii="Times New Roman" w:cs="Times New Roman" w:eastAsia="Times New Roman" w:hAnsi="Times New Roman"/>
          <w:sz w:val="22"/>
          <w:szCs w:val="22"/>
          <w:b w:val="1"/>
          <w:bCs w:val="1"/>
          <w:color w:val="auto"/>
        </w:rPr>
        <w:t>Gifts in any amount received by a Supervised Person from an Outside Party, except for gifts of nominal value (such as logo items, including pens, notepads, coffee mugs and baseball caps) must be disclosed in the Firm’s compliance portal at the time of receipt.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-33-</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803910</wp:posOffset>
            </wp:positionV>
            <wp:extent cx="71831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0"/>
          </w:cols>
          <w:pgMar w:left="900" w:top="1440" w:right="878" w:bottom="1440" w:gutter="0" w:footer="0" w:header="0"/>
        </w:sectPr>
      </w:pPr>
    </w:p>
    <w:bookmarkStart w:id="103" w:name="page104"/>
    <w:bookmarkEnd w:id="103"/>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4372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0">
                      <a:extLst>
                        <a:ext uri="{28A0092B-C50C-407E-A947-70E740481C1C}"/>
                      </a:extLst>
                    </a:blip>
                    <a:srcRect/>
                    <a:stretch>
                      <a:fillRect/>
                    </a:stretch>
                  </pic:blipFill>
                  <pic:spPr bwMode="auto">
                    <a:xfrm>
                      <a:off x="0" y="0"/>
                      <a:ext cx="7162165" cy="8437245"/>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22"/>
          <w:szCs w:val="22"/>
          <w:b w:val="1"/>
          <w:bCs w:val="1"/>
          <w:color w:val="auto"/>
        </w:rPr>
        <w:t>4. Entertainment</w:t>
      </w:r>
    </w:p>
    <w:p>
      <w:pPr>
        <w:spacing w:after="0" w:line="156" w:lineRule="exact"/>
        <w:rPr>
          <w:sz w:val="20"/>
          <w:szCs w:val="20"/>
          <w:color w:val="auto"/>
        </w:rPr>
      </w:pPr>
    </w:p>
    <w:p>
      <w:pPr>
        <w:jc w:val="both"/>
        <w:ind w:firstLine="692"/>
        <w:spacing w:after="0" w:line="247" w:lineRule="auto"/>
        <w:rPr>
          <w:sz w:val="20"/>
          <w:szCs w:val="20"/>
          <w:color w:val="auto"/>
        </w:rPr>
      </w:pPr>
      <w:r>
        <w:rPr>
          <w:rFonts w:ascii="Times New Roman" w:cs="Times New Roman" w:eastAsia="Times New Roman" w:hAnsi="Times New Roman"/>
          <w:sz w:val="21"/>
          <w:szCs w:val="21"/>
          <w:color w:val="auto"/>
        </w:rPr>
        <w:t>The gift policies above are not intended to prohibit the acceptance or provision of non- extravagant entertainment that facilitates the handling of the Firm’s business. Business entertainment (e.g., concerts, exhibitions or sporting events, where the person providing the entertainment is present), that is not frequent or “lavish” and does not influence the selection of vendors or other Outside Parties, is acceptable. Entertainment received by a Supervised Person where the outside party providing the entertainment is not in attendance is considered a “gift.” From time to time, an employee may have the opportunity to invite a guest to a business entertainment event hosted by an Outside Party – the guest’s ticket is considered as a “gift” for purposes of this policy. Business meals are not considered entertainment for purposes of this Policy (see Section IV.B. 1. “Business Meals” above for additional information).</w:t>
      </w:r>
    </w:p>
    <w:p>
      <w:pPr>
        <w:spacing w:after="0" w:line="64" w:lineRule="exact"/>
        <w:rPr>
          <w:sz w:val="20"/>
          <w:szCs w:val="20"/>
          <w:color w:val="auto"/>
        </w:rPr>
      </w:pPr>
    </w:p>
    <w:p>
      <w:pPr>
        <w:jc w:val="both"/>
        <w:ind w:firstLine="692"/>
        <w:spacing w:after="0" w:line="235" w:lineRule="auto"/>
        <w:rPr>
          <w:sz w:val="20"/>
          <w:szCs w:val="20"/>
          <w:color w:val="auto"/>
        </w:rPr>
      </w:pPr>
      <w:r>
        <w:rPr>
          <w:rFonts w:ascii="Times New Roman" w:cs="Times New Roman" w:eastAsia="Times New Roman" w:hAnsi="Times New Roman"/>
          <w:sz w:val="22"/>
          <w:szCs w:val="22"/>
          <w:color w:val="auto"/>
        </w:rPr>
        <w:t xml:space="preserve">No Supervised Person may provide or accept extravagant or excessive entertainment to or from an Outside Party. </w:t>
      </w:r>
      <w:r>
        <w:rPr>
          <w:rFonts w:ascii="Times New Roman" w:cs="Times New Roman" w:eastAsia="Times New Roman" w:hAnsi="Times New Roman"/>
          <w:sz w:val="22"/>
          <w:szCs w:val="22"/>
          <w:b w:val="1"/>
          <w:bCs w:val="1"/>
          <w:color w:val="auto"/>
        </w:rPr>
        <w:t>Any entertainment that a Supervised Person reasonably expects to exceed $1,000 in market value per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person must be pre-approved by a Compliance Officer</w:t>
      </w:r>
      <w:r>
        <w:rPr>
          <w:rFonts w:ascii="Times New Roman" w:cs="Times New Roman" w:eastAsia="Times New Roman" w:hAnsi="Times New Roman"/>
          <w:sz w:val="22"/>
          <w:szCs w:val="22"/>
          <w:color w:val="auto"/>
        </w:rPr>
        <w:t>. Also, if the entertainment provided by the Supervised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is part of an entertainment program (e.g., purchasing season box seats, where multiple events are scheduled over multiple dates, for multiple Outside Parties), and although the market value per person may be below the $1000 limit, these programs must also be approved in advance by a Compliance Officer. Further, entertainment of any value to be provided to Public Officials requires pre-approval from a Compliance Officer. Such requests should be submitted via the Firm’s compliance portal.</w:t>
      </w:r>
    </w:p>
    <w:p>
      <w:pPr>
        <w:spacing w:after="0" w:line="66" w:lineRule="exact"/>
        <w:rPr>
          <w:sz w:val="20"/>
          <w:szCs w:val="20"/>
          <w:color w:val="auto"/>
        </w:rPr>
      </w:pPr>
    </w:p>
    <w:p>
      <w:pPr>
        <w:jc w:val="both"/>
        <w:ind w:firstLine="692"/>
        <w:spacing w:after="0" w:line="246" w:lineRule="auto"/>
        <w:rPr>
          <w:sz w:val="20"/>
          <w:szCs w:val="20"/>
          <w:color w:val="auto"/>
        </w:rPr>
      </w:pPr>
      <w:r>
        <w:rPr>
          <w:rFonts w:ascii="Times New Roman" w:cs="Times New Roman" w:eastAsia="Times New Roman" w:hAnsi="Times New Roman"/>
          <w:sz w:val="22"/>
          <w:szCs w:val="22"/>
          <w:b w:val="1"/>
          <w:bCs w:val="1"/>
          <w:color w:val="auto"/>
        </w:rPr>
        <w:t>A Supervised Person receiving entertainment in an amount less than the $1,000 limit must disclose the entertainment via the Firm’s compliance portal. The disclosure should be made no later than 30 calendar days of the date of participating in such event.</w:t>
      </w:r>
    </w:p>
    <w:p>
      <w:pPr>
        <w:spacing w:after="0" w:line="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5. Travel and Lodging</w:t>
      </w:r>
    </w:p>
    <w:p>
      <w:pPr>
        <w:spacing w:after="0" w:line="156" w:lineRule="exact"/>
        <w:rPr>
          <w:sz w:val="20"/>
          <w:szCs w:val="20"/>
          <w:color w:val="auto"/>
        </w:rPr>
      </w:pPr>
    </w:p>
    <w:p>
      <w:pPr>
        <w:jc w:val="both"/>
        <w:ind w:firstLine="692"/>
        <w:spacing w:after="0" w:line="239" w:lineRule="auto"/>
        <w:rPr>
          <w:sz w:val="20"/>
          <w:szCs w:val="20"/>
          <w:color w:val="auto"/>
        </w:rPr>
      </w:pPr>
      <w:r>
        <w:rPr>
          <w:rFonts w:ascii="Times New Roman" w:cs="Times New Roman" w:eastAsia="Times New Roman" w:hAnsi="Times New Roman"/>
          <w:sz w:val="22"/>
          <w:szCs w:val="22"/>
          <w:color w:val="auto"/>
        </w:rPr>
        <w:t>Supervised Persons may occasionally be invited to conferences or other events by Outside Parties, which include an offer of travel and/or lodging. Employees must contact a Compliance Officer to obtain approval prior to accepting the travel and/or lodging. Requests to accept travel or lodging that appear to be extravagant or frequent in nature will generally be prohibited.</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6. Giving Gifts, Entertainment and Meals to Public Officials</w:t>
      </w:r>
    </w:p>
    <w:p>
      <w:pPr>
        <w:spacing w:after="0" w:line="156" w:lineRule="exact"/>
        <w:rPr>
          <w:sz w:val="20"/>
          <w:szCs w:val="20"/>
          <w:color w:val="auto"/>
        </w:rPr>
      </w:pPr>
    </w:p>
    <w:p>
      <w:pPr>
        <w:jc w:val="both"/>
        <w:ind w:firstLine="692"/>
        <w:spacing w:after="0" w:line="235" w:lineRule="auto"/>
        <w:rPr>
          <w:sz w:val="20"/>
          <w:szCs w:val="20"/>
          <w:color w:val="auto"/>
        </w:rPr>
      </w:pPr>
      <w:r>
        <w:rPr>
          <w:rFonts w:ascii="Times New Roman" w:cs="Times New Roman" w:eastAsia="Times New Roman" w:hAnsi="Times New Roman"/>
          <w:sz w:val="22"/>
          <w:szCs w:val="22"/>
          <w:color w:val="auto"/>
        </w:rPr>
        <w:t>Specific requirements and restrictions apply regarding the offering of meals, gifts and entertainment (including any food and beverages) to Public Officials and can vary depending on the governmental branch/body, state, or other jurisdiction. For example, many government pension plans place strict limits on the value of any meal provided by a service provider, such as the Firm, to the pension plans’ employees. Certain jurisdictions even ban service providers from providing anything of value to their public employees, including promotional items of nominal value. Penalties for violating these gift laws can range from monetary fines to disqualification from RFP participation and rescindment of existing investment mandates. Private unions are subject to Department of Labor gift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-34-</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803910</wp:posOffset>
            </wp:positionV>
            <wp:extent cx="71831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0"/>
          </w:cols>
          <w:pgMar w:left="900" w:top="1440" w:right="878" w:bottom="1440" w:gutter="0" w:footer="0" w:header="0"/>
        </w:sectPr>
      </w:pPr>
    </w:p>
    <w:bookmarkStart w:id="104" w:name="page105"/>
    <w:bookmarkEnd w:id="104"/>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52297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2">
                      <a:extLst>
                        <a:ext uri="{28A0092B-C50C-407E-A947-70E740481C1C}"/>
                      </a:extLst>
                    </a:blip>
                    <a:srcRect/>
                    <a:stretch>
                      <a:fillRect/>
                    </a:stretch>
                  </pic:blipFill>
                  <pic:spPr bwMode="auto">
                    <a:xfrm>
                      <a:off x="0" y="0"/>
                      <a:ext cx="7162165" cy="8522970"/>
                    </a:xfrm>
                    <a:prstGeom prst="rect">
                      <a:avLst/>
                    </a:prstGeom>
                    <a:noFill/>
                  </pic:spPr>
                </pic:pic>
              </a:graphicData>
            </a:graphic>
          </wp:anchor>
        </w:drawing>
      </w: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rules and regulations and service providers, such as the Firm, must comply with prescribed limits and reporting requirements when providing gifts and entertainment (including any food and beverages) to union employees. Accordingly, it is against Firm policy to offer or give gifts, entertainment (including any food and beverages), or anything of value to Public Officials or union officials or employees unless the regulations applicable to that individual permit acceptance of such items. </w:t>
      </w:r>
      <w:r>
        <w:rPr>
          <w:rFonts w:ascii="Times New Roman" w:cs="Times New Roman" w:eastAsia="Times New Roman" w:hAnsi="Times New Roman"/>
          <w:sz w:val="22"/>
          <w:szCs w:val="22"/>
          <w:b w:val="1"/>
          <w:bCs w:val="1"/>
          <w:color w:val="auto"/>
        </w:rPr>
        <w:t>Further, Supervised Persons are required to obtain preclearance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from a Compliance Officer to offer or give anything of value, including nominal items or snacks, to Public Officials or union officials or employees. </w:t>
      </w:r>
      <w:r>
        <w:rPr>
          <w:rFonts w:ascii="Times New Roman" w:cs="Times New Roman" w:eastAsia="Times New Roman" w:hAnsi="Times New Roman"/>
          <w:sz w:val="22"/>
          <w:szCs w:val="22"/>
          <w:color w:val="auto"/>
        </w:rPr>
        <w:t>Such requests for prior approval should be submitted via the Firm’s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compliance portal.</w:t>
      </w:r>
    </w:p>
    <w:p>
      <w:pPr>
        <w:spacing w:after="0" w:line="70" w:lineRule="exact"/>
        <w:rPr>
          <w:sz w:val="20"/>
          <w:szCs w:val="20"/>
          <w:color w:val="auto"/>
        </w:rPr>
      </w:pPr>
    </w:p>
    <w:p>
      <w:pPr>
        <w:jc w:val="both"/>
        <w:ind w:firstLine="692"/>
        <w:spacing w:after="0" w:line="236" w:lineRule="auto"/>
        <w:rPr>
          <w:sz w:val="20"/>
          <w:szCs w:val="20"/>
          <w:color w:val="auto"/>
        </w:rPr>
      </w:pPr>
      <w:r>
        <w:rPr>
          <w:rFonts w:ascii="Times New Roman" w:cs="Times New Roman" w:eastAsia="Times New Roman" w:hAnsi="Times New Roman"/>
          <w:sz w:val="22"/>
          <w:szCs w:val="22"/>
          <w:color w:val="auto"/>
        </w:rPr>
        <w:t>If you plan to contact a Public Official for the first time in order to solicit business or to request that any action or decision be made by a Public Official or its affiliated public body, you may need to register as a lobbyist. Many states and other local jurisdictions have enacted lobbying laws that can vary in how they define “lobbying” and registration as a “lobbyist” is required. Further, in the event that you are required to register as a lobbyist, you will likely be subject to lower gift and entertainment limits. Accordingly, you should contact Compliance for further guidance prior to initial contact with Public Officials.</w:t>
      </w:r>
    </w:p>
    <w:p>
      <w:pPr>
        <w:spacing w:after="0" w:line="73" w:lineRule="exact"/>
        <w:rPr>
          <w:sz w:val="20"/>
          <w:szCs w:val="20"/>
          <w:color w:val="auto"/>
        </w:rPr>
      </w:pPr>
    </w:p>
    <w:p>
      <w:pPr>
        <w:jc w:val="both"/>
        <w:ind w:firstLine="692"/>
        <w:spacing w:after="0" w:line="244" w:lineRule="auto"/>
        <w:rPr>
          <w:sz w:val="20"/>
          <w:szCs w:val="20"/>
          <w:color w:val="auto"/>
        </w:rPr>
      </w:pPr>
      <w:r>
        <w:rPr>
          <w:rFonts w:ascii="Times New Roman" w:cs="Times New Roman" w:eastAsia="Times New Roman" w:hAnsi="Times New Roman"/>
          <w:sz w:val="22"/>
          <w:szCs w:val="22"/>
          <w:color w:val="auto"/>
        </w:rPr>
        <w:t>If you are unsure of applicable laws, rules, and regulations with respect to providing gifts, meals and entertainment (including any food or beverages) to Public Officials or union official or employees in any circumstance, you should consult with a Compliance Officer.</w:t>
      </w:r>
    </w:p>
    <w:p>
      <w:pPr>
        <w:spacing w:after="0" w:line="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7. Receiving Gifts or Entertainment from Traders or Brokers/Agent Bank Employees</w:t>
      </w:r>
    </w:p>
    <w:p>
      <w:pPr>
        <w:spacing w:after="0" w:line="156" w:lineRule="exact"/>
        <w:rPr>
          <w:sz w:val="20"/>
          <w:szCs w:val="20"/>
          <w:color w:val="auto"/>
        </w:rPr>
      </w:pPr>
    </w:p>
    <w:p>
      <w:pPr>
        <w:jc w:val="both"/>
        <w:ind w:firstLine="692"/>
        <w:spacing w:after="0" w:line="238" w:lineRule="auto"/>
        <w:rPr>
          <w:sz w:val="20"/>
          <w:szCs w:val="20"/>
          <w:color w:val="auto"/>
        </w:rPr>
      </w:pPr>
      <w:r>
        <w:rPr>
          <w:rFonts w:ascii="Times New Roman" w:cs="Times New Roman" w:eastAsia="Times New Roman" w:hAnsi="Times New Roman"/>
          <w:sz w:val="22"/>
          <w:szCs w:val="22"/>
          <w:color w:val="auto"/>
        </w:rPr>
        <w:t>Traders or other investment professionals with the ability to influence the selection of brokers/agent banks with respect to trading in Securities and broadly syndicated loans are prohibited from receiving meals over $300 and gifts or entertainment of any value from an employee of such broker/agent bank without submitting a preclearance request and receiving preapproval from Compliance. Such request for pre-approval should be submitted via the Firm’s compliance portal.</w:t>
      </w:r>
    </w:p>
    <w:p>
      <w:pPr>
        <w:spacing w:after="0" w:line="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8. Charitable Contributions</w:t>
      </w:r>
    </w:p>
    <w:p>
      <w:pPr>
        <w:spacing w:after="0" w:line="15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The following charitable contributions require preclearance by a Compliance Officer:</w:t>
      </w:r>
    </w:p>
    <w:p>
      <w:pPr>
        <w:spacing w:after="0" w:line="148" w:lineRule="exact"/>
        <w:rPr>
          <w:sz w:val="20"/>
          <w:szCs w:val="20"/>
          <w:color w:val="auto"/>
        </w:rPr>
      </w:pPr>
    </w:p>
    <w:p>
      <w:pPr>
        <w:ind w:left="680"/>
        <w:spacing w:after="0"/>
        <w:tabs>
          <w:tab w:leader="none" w:pos="1420" w:val="left"/>
        </w:tabs>
        <w:rPr>
          <w:sz w:val="20"/>
          <w:szCs w:val="20"/>
          <w:color w:val="auto"/>
        </w:rPr>
      </w:pPr>
      <w:r>
        <w:rPr>
          <w:rFonts w:ascii="Times New Roman" w:cs="Times New Roman" w:eastAsia="Times New Roman" w:hAnsi="Times New Roman"/>
          <w:sz w:val="22"/>
          <w:szCs w:val="22"/>
          <w:b w:val="1"/>
          <w:bCs w:val="1"/>
          <w:color w:val="auto"/>
        </w:rPr>
        <w:t>8.1.</w:t>
      </w:r>
      <w:r>
        <w:rPr>
          <w:sz w:val="20"/>
          <w:szCs w:val="20"/>
          <w:color w:val="auto"/>
        </w:rPr>
        <w:tab/>
      </w:r>
      <w:r>
        <w:rPr>
          <w:rFonts w:ascii="Times New Roman" w:cs="Times New Roman" w:eastAsia="Times New Roman" w:hAnsi="Times New Roman"/>
          <w:sz w:val="21"/>
          <w:szCs w:val="21"/>
          <w:b w:val="1"/>
          <w:bCs w:val="1"/>
          <w:color w:val="auto"/>
        </w:rPr>
        <w:t>Charitable contributions by OFS Advisers and/or its affiliated operating entities</w:t>
      </w:r>
      <w:r>
        <w:rPr>
          <w:rFonts w:ascii="Times New Roman" w:cs="Times New Roman" w:eastAsia="Times New Roman" w:hAnsi="Times New Roman"/>
          <w:sz w:val="21"/>
          <w:szCs w:val="21"/>
          <w:color w:val="auto"/>
        </w:rPr>
        <w:t>.</w:t>
      </w:r>
    </w:p>
    <w:p>
      <w:pPr>
        <w:spacing w:after="0" w:line="156" w:lineRule="exact"/>
        <w:rPr>
          <w:sz w:val="20"/>
          <w:szCs w:val="20"/>
          <w:color w:val="auto"/>
        </w:rPr>
      </w:pPr>
    </w:p>
    <w:p>
      <w:pPr>
        <w:jc w:val="both"/>
        <w:ind w:firstLine="692"/>
        <w:spacing w:after="0" w:line="244" w:lineRule="auto"/>
        <w:rPr>
          <w:sz w:val="20"/>
          <w:szCs w:val="20"/>
          <w:color w:val="auto"/>
        </w:rPr>
      </w:pPr>
      <w:r>
        <w:rPr>
          <w:rFonts w:ascii="Times New Roman" w:cs="Times New Roman" w:eastAsia="Times New Roman" w:hAnsi="Times New Roman"/>
          <w:sz w:val="22"/>
          <w:szCs w:val="22"/>
          <w:color w:val="auto"/>
        </w:rPr>
        <w:t>Such contributions may be permissible only with the approval of Senior Management and requested through the Firm’s compliance portal. The Compliance Officer will consult with Senior Management if such requests are not initiated by a member of Senior Management.</w:t>
      </w:r>
    </w:p>
    <w:p>
      <w:pPr>
        <w:spacing w:after="0" w:line="6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8.2. Charitable contributions by OFS Funds, separately managed accounts and investment vehicles</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jc w:val="both"/>
        <w:ind w:firstLine="692"/>
        <w:spacing w:after="0" w:line="244" w:lineRule="auto"/>
        <w:rPr>
          <w:sz w:val="20"/>
          <w:szCs w:val="20"/>
          <w:color w:val="auto"/>
        </w:rPr>
      </w:pPr>
      <w:r>
        <w:rPr>
          <w:rFonts w:ascii="Times New Roman" w:cs="Times New Roman" w:eastAsia="Times New Roman" w:hAnsi="Times New Roman"/>
          <w:sz w:val="22"/>
          <w:szCs w:val="22"/>
          <w:color w:val="auto"/>
        </w:rPr>
        <w:t>Such contributions generally must, at a minimum: (1) provide a direct benefit to the contributing entity; (2) require the preliminary approval of the Senior Managing Director; and (3) be consistent with the contributing entity’s governing documents. If the proposed contribution amount exceeds the entity’s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-35-</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803910</wp:posOffset>
            </wp:positionV>
            <wp:extent cx="71831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0"/>
          </w:cols>
          <w:pgMar w:left="900" w:top="1440" w:right="878" w:bottom="1440" w:gutter="0" w:footer="0" w:header="0"/>
        </w:sectPr>
      </w:pPr>
    </w:p>
    <w:bookmarkStart w:id="105" w:name="page106"/>
    <w:bookmarkEnd w:id="105"/>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420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4">
                      <a:extLst>
                        <a:ext uri="{28A0092B-C50C-407E-A947-70E740481C1C}"/>
                      </a:extLst>
                    </a:blip>
                    <a:srcRect/>
                    <a:stretch>
                      <a:fillRect/>
                    </a:stretch>
                  </pic:blipFill>
                  <pic:spPr bwMode="auto">
                    <a:xfrm>
                      <a:off x="0" y="0"/>
                      <a:ext cx="7162165" cy="8420100"/>
                    </a:xfrm>
                    <a:prstGeom prst="rect">
                      <a:avLst/>
                    </a:prstGeom>
                    <a:noFill/>
                  </pic:spPr>
                </pic:pic>
              </a:graphicData>
            </a:graphic>
          </wp:anchor>
        </w:drawing>
      </w:r>
    </w:p>
    <w:p>
      <w:pPr>
        <w:jc w:val="both"/>
        <w:ind w:left="120" w:right="120"/>
        <w:spacing w:after="0" w:line="258" w:lineRule="auto"/>
        <w:rPr>
          <w:sz w:val="20"/>
          <w:szCs w:val="20"/>
          <w:color w:val="auto"/>
        </w:rPr>
      </w:pPr>
      <w:r>
        <w:rPr>
          <w:rFonts w:ascii="Times New Roman" w:cs="Times New Roman" w:eastAsia="Times New Roman" w:hAnsi="Times New Roman"/>
          <w:sz w:val="22"/>
          <w:szCs w:val="22"/>
          <w:color w:val="auto"/>
        </w:rPr>
        <w:t>applicable budget, a member of Senior Management must also approve the contribution prior to submitting a preclearance request through the Firm’s compliance portal.</w:t>
      </w:r>
    </w:p>
    <w:p>
      <w:pPr>
        <w:spacing w:after="0" w:line="46" w:lineRule="exact"/>
        <w:rPr>
          <w:sz w:val="20"/>
          <w:szCs w:val="20"/>
          <w:color w:val="auto"/>
        </w:rPr>
      </w:pPr>
    </w:p>
    <w:p>
      <w:pPr>
        <w:jc w:val="both"/>
        <w:ind w:left="120" w:right="120" w:firstLine="692"/>
        <w:spacing w:after="0" w:line="262" w:lineRule="auto"/>
        <w:rPr>
          <w:sz w:val="20"/>
          <w:szCs w:val="20"/>
          <w:color w:val="auto"/>
        </w:rPr>
      </w:pPr>
      <w:r>
        <w:rPr>
          <w:rFonts w:ascii="Times New Roman" w:cs="Times New Roman" w:eastAsia="Times New Roman" w:hAnsi="Times New Roman"/>
          <w:sz w:val="22"/>
          <w:szCs w:val="22"/>
          <w:b w:val="1"/>
          <w:bCs w:val="1"/>
          <w:color w:val="auto"/>
        </w:rPr>
        <w:t>8.3. Charitable contributions by an employee, at the request or for the benefit of a Public Official or a Public Official’s immediate family member or close associate</w:t>
      </w:r>
      <w:r>
        <w:rPr>
          <w:rFonts w:ascii="Times New Roman" w:cs="Times New Roman" w:eastAsia="Times New Roman" w:hAnsi="Times New Roman"/>
          <w:sz w:val="22"/>
          <w:szCs w:val="22"/>
          <w:color w:val="auto"/>
        </w:rPr>
        <w:t>.</w:t>
      </w:r>
    </w:p>
    <w:p>
      <w:pPr>
        <w:spacing w:after="0" w:line="46" w:lineRule="exact"/>
        <w:rPr>
          <w:sz w:val="20"/>
          <w:szCs w:val="20"/>
          <w:color w:val="auto"/>
        </w:rPr>
      </w:pPr>
    </w:p>
    <w:p>
      <w:pPr>
        <w:jc w:val="both"/>
        <w:ind w:left="120" w:right="120" w:firstLine="692"/>
        <w:spacing w:after="0" w:line="258" w:lineRule="auto"/>
        <w:rPr>
          <w:sz w:val="20"/>
          <w:szCs w:val="20"/>
          <w:color w:val="auto"/>
        </w:rPr>
      </w:pPr>
      <w:r>
        <w:rPr>
          <w:rFonts w:ascii="Times New Roman" w:cs="Times New Roman" w:eastAsia="Times New Roman" w:hAnsi="Times New Roman"/>
          <w:sz w:val="22"/>
          <w:szCs w:val="22"/>
          <w:color w:val="auto"/>
        </w:rPr>
        <w:t>Such contributions may be permissible only if the Compliance Officer can reasonably conclude that the contribution is lawful, ethical and in compliance with the policies and standards under this Code.</w:t>
      </w:r>
    </w:p>
    <w:p>
      <w:pPr>
        <w:spacing w:after="0" w:line="50" w:lineRule="exact"/>
        <w:rPr>
          <w:sz w:val="20"/>
          <w:szCs w:val="20"/>
          <w:color w:val="auto"/>
        </w:rPr>
      </w:pPr>
    </w:p>
    <w:p>
      <w:pPr>
        <w:jc w:val="both"/>
        <w:ind w:left="120" w:right="120" w:firstLine="692"/>
        <w:spacing w:after="0" w:line="238" w:lineRule="auto"/>
        <w:rPr>
          <w:sz w:val="20"/>
          <w:szCs w:val="20"/>
          <w:color w:val="auto"/>
        </w:rPr>
      </w:pPr>
      <w:r>
        <w:rPr>
          <w:rFonts w:ascii="Times New Roman" w:cs="Times New Roman" w:eastAsia="Times New Roman" w:hAnsi="Times New Roman"/>
          <w:sz w:val="22"/>
          <w:szCs w:val="22"/>
          <w:color w:val="auto"/>
        </w:rPr>
        <w:t>In all cases, unless an exception has been granted by a Compliance Officer, the beneficiary of the contribution must be an organization formed under section 501(c)(3) of the U.S. Internal Revenue Code or is otherwise operating exclusively as a non-profit civic charity that is not involved in any political or lobbying activity. Further, such contributions should never be used as bribes (i.e., to improperly influence or reward any action or decision for OFS’s benefit).</w:t>
      </w:r>
    </w:p>
    <w:p>
      <w:pPr>
        <w:spacing w:after="0" w:line="65" w:lineRule="exact"/>
        <w:rPr>
          <w:sz w:val="20"/>
          <w:szCs w:val="20"/>
          <w:color w:val="auto"/>
        </w:rPr>
      </w:pPr>
    </w:p>
    <w:p>
      <w:pPr>
        <w:jc w:val="both"/>
        <w:ind w:left="120" w:right="120" w:firstLine="692"/>
        <w:spacing w:after="0" w:line="262" w:lineRule="auto"/>
        <w:rPr>
          <w:sz w:val="20"/>
          <w:szCs w:val="20"/>
          <w:color w:val="auto"/>
        </w:rPr>
      </w:pPr>
      <w:r>
        <w:rPr>
          <w:rFonts w:ascii="Times New Roman" w:cs="Times New Roman" w:eastAsia="Times New Roman" w:hAnsi="Times New Roman"/>
          <w:sz w:val="22"/>
          <w:szCs w:val="22"/>
          <w:b w:val="1"/>
          <w:bCs w:val="1"/>
          <w:color w:val="auto"/>
        </w:rPr>
        <w:t>8.4 Charitable contributions of an in-kind Reportable Security by a Supervised Person or their Related Persons.</w:t>
      </w:r>
    </w:p>
    <w:p>
      <w:pPr>
        <w:spacing w:after="0" w:line="46" w:lineRule="exact"/>
        <w:rPr>
          <w:sz w:val="20"/>
          <w:szCs w:val="20"/>
          <w:color w:val="auto"/>
        </w:rPr>
      </w:pPr>
    </w:p>
    <w:p>
      <w:pPr>
        <w:jc w:val="both"/>
        <w:ind w:left="120" w:right="120" w:firstLine="692"/>
        <w:spacing w:after="0" w:line="258" w:lineRule="auto"/>
        <w:rPr>
          <w:sz w:val="20"/>
          <w:szCs w:val="20"/>
          <w:color w:val="auto"/>
        </w:rPr>
      </w:pPr>
      <w:r>
        <w:rPr>
          <w:rFonts w:ascii="Times New Roman" w:cs="Times New Roman" w:eastAsia="Times New Roman" w:hAnsi="Times New Roman"/>
          <w:sz w:val="22"/>
          <w:szCs w:val="22"/>
          <w:color w:val="auto"/>
        </w:rPr>
        <w:t>Such contributions are considered personal investment transactions that must follow the Personal Investment Policy and must be pre-cleared through the Firm’s compliance portal.</w:t>
      </w:r>
    </w:p>
    <w:p>
      <w:pPr>
        <w:spacing w:after="0" w:line="46" w:lineRule="exact"/>
        <w:rPr>
          <w:sz w:val="20"/>
          <w:szCs w:val="20"/>
          <w:color w:val="auto"/>
        </w:rPr>
      </w:pPr>
    </w:p>
    <w:p>
      <w:pPr>
        <w:ind w:left="800" w:hanging="687"/>
        <w:spacing w:after="0"/>
        <w:tabs>
          <w:tab w:leader="none" w:pos="80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POLITICAL ACTIVITY POLICY</w:t>
      </w:r>
    </w:p>
    <w:p>
      <w:pPr>
        <w:spacing w:after="0" w:line="2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b w:val="1"/>
          <w:bCs w:val="1"/>
          <w:color w:val="auto"/>
        </w:rPr>
        <w:t>1. Introduction</w:t>
      </w:r>
    </w:p>
    <w:p>
      <w:pPr>
        <w:spacing w:after="0" w:line="156" w:lineRule="exact"/>
        <w:rPr>
          <w:sz w:val="20"/>
          <w:szCs w:val="20"/>
          <w:color w:val="auto"/>
        </w:rPr>
      </w:pPr>
    </w:p>
    <w:p>
      <w:pPr>
        <w:jc w:val="both"/>
        <w:ind w:left="120" w:right="120" w:firstLine="692"/>
        <w:spacing w:after="0" w:line="251" w:lineRule="auto"/>
        <w:rPr>
          <w:sz w:val="20"/>
          <w:szCs w:val="20"/>
          <w:color w:val="auto"/>
        </w:rPr>
      </w:pPr>
      <w:r>
        <w:rPr>
          <w:rFonts w:ascii="Times New Roman" w:cs="Times New Roman" w:eastAsia="Times New Roman" w:hAnsi="Times New Roman"/>
          <w:sz w:val="22"/>
          <w:szCs w:val="22"/>
          <w:color w:val="auto"/>
        </w:rPr>
        <w:t>Under Rule 206(4)-5 of the Advisers Act, the SEC, along with certain states, municipalities and public pension plans, have adopted regulations limiting or completely disqualifying investment advisers from providing</w:t>
      </w:r>
    </w:p>
    <w:p>
      <w:pPr>
        <w:jc w:val="center"/>
        <w:spacing w:after="0" w:line="234" w:lineRule="auto"/>
        <w:rPr>
          <w:sz w:val="20"/>
          <w:szCs w:val="20"/>
          <w:color w:val="auto"/>
        </w:rPr>
      </w:pPr>
      <w:r>
        <w:rPr>
          <w:rFonts w:ascii="Times New Roman" w:cs="Times New Roman" w:eastAsia="Times New Roman" w:hAnsi="Times New Roman"/>
          <w:sz w:val="22"/>
          <w:szCs w:val="22"/>
          <w:color w:val="auto"/>
        </w:rPr>
        <w:t>services to, or accepting placements from, a government entity if certain political contributions</w:t>
      </w:r>
      <w:r>
        <w:rPr>
          <w:rFonts w:ascii="Times New Roman" w:cs="Times New Roman" w:eastAsia="Times New Roman" w:hAnsi="Times New Roman"/>
          <w:sz w:val="28"/>
          <w:szCs w:val="28"/>
          <w:color w:val="auto"/>
          <w:vertAlign w:val="superscript"/>
        </w:rPr>
        <w:t>12</w:t>
      </w:r>
      <w:r>
        <w:rPr>
          <w:rFonts w:ascii="Times New Roman" w:cs="Times New Roman" w:eastAsia="Times New Roman" w:hAnsi="Times New Roman"/>
          <w:sz w:val="22"/>
          <w:szCs w:val="22"/>
          <w:color w:val="auto"/>
        </w:rPr>
        <w:t xml:space="preserve">  are made or</w:t>
      </w:r>
    </w:p>
    <w:p>
      <w:pPr>
        <w:jc w:val="both"/>
        <w:ind w:left="120" w:right="120"/>
        <w:spacing w:after="0" w:line="227" w:lineRule="auto"/>
        <w:rPr>
          <w:sz w:val="20"/>
          <w:szCs w:val="20"/>
          <w:color w:val="auto"/>
        </w:rPr>
      </w:pPr>
      <w:r>
        <w:rPr>
          <w:rFonts w:ascii="Times New Roman" w:cs="Times New Roman" w:eastAsia="Times New Roman" w:hAnsi="Times New Roman"/>
          <w:sz w:val="22"/>
          <w:szCs w:val="22"/>
          <w:color w:val="auto"/>
        </w:rPr>
        <w:t>solicited</w:t>
      </w:r>
      <w:r>
        <w:rPr>
          <w:rFonts w:ascii="Times New Roman" w:cs="Times New Roman" w:eastAsia="Times New Roman" w:hAnsi="Times New Roman"/>
          <w:sz w:val="28"/>
          <w:szCs w:val="28"/>
          <w:color w:val="auto"/>
          <w:vertAlign w:val="superscript"/>
        </w:rPr>
        <w:t>13</w:t>
      </w:r>
      <w:r>
        <w:rPr>
          <w:rFonts w:ascii="Times New Roman" w:cs="Times New Roman" w:eastAsia="Times New Roman" w:hAnsi="Times New Roman"/>
          <w:sz w:val="22"/>
          <w:szCs w:val="22"/>
          <w:color w:val="auto"/>
        </w:rPr>
        <w:t xml:space="preserve"> by the Firm, certain of its Supervised Persons (i.e. covered associates), or, in some instances, a covered associate’s Related Persons. Under these “pay to play” regulations, a single prohibited political contribution to a candidate or officeholder, political party, political action committee or other political organization at practically every level of government (including local, state and federal) may preclude the Firm from providing services to, or accepting placements from, the applicable government entity and may compel the firm to repay compensation received by the Firm for with such services or placements.</w:t>
      </w:r>
    </w:p>
    <w:p>
      <w:pPr>
        <w:spacing w:after="0" w:line="68" w:lineRule="exact"/>
        <w:rPr>
          <w:sz w:val="20"/>
          <w:szCs w:val="20"/>
          <w:color w:val="auto"/>
        </w:rPr>
      </w:pPr>
    </w:p>
    <w:p>
      <w:pPr>
        <w:ind w:left="120" w:right="240" w:firstLine="720"/>
        <w:spacing w:after="0" w:line="262" w:lineRule="auto"/>
        <w:rPr>
          <w:sz w:val="20"/>
          <w:szCs w:val="20"/>
          <w:color w:val="auto"/>
        </w:rPr>
      </w:pPr>
      <w:r>
        <w:rPr>
          <w:rFonts w:ascii="Times New Roman" w:cs="Times New Roman" w:eastAsia="Times New Roman" w:hAnsi="Times New Roman"/>
          <w:sz w:val="22"/>
          <w:szCs w:val="22"/>
          <w:b w:val="1"/>
          <w:bCs w:val="1"/>
          <w:color w:val="auto"/>
        </w:rPr>
        <w:t>OFS Adviser and its Affiliates (other than natural persons, as provided below) generally do not make or solicit contributions in any amount to any federal, state, county or</w:t>
      </w:r>
    </w:p>
    <w:p>
      <w:pPr>
        <w:spacing w:after="0" w:line="260" w:lineRule="exact"/>
        <w:rPr>
          <w:sz w:val="20"/>
          <w:szCs w:val="20"/>
          <w:color w:val="auto"/>
        </w:rPr>
      </w:pPr>
    </w:p>
    <w:p>
      <w:pPr>
        <w:ind w:firstLine="3"/>
        <w:spacing w:after="0" w:line="195" w:lineRule="auto"/>
        <w:tabs>
          <w:tab w:leader="none" w:pos="171" w:val="left"/>
        </w:tabs>
        <w:numPr>
          <w:ilvl w:val="0"/>
          <w:numId w:val="9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Contributions include cash, checks, gifts, subscriptions, loans, advances, deposits of money, “in kind” contributions (e.g., the provision of free professional services) or anything else of value provided for the purpose of influencing an election for a federal, state or local office, including any payments for debts incurred in such an election.</w:t>
      </w:r>
    </w:p>
    <w:p>
      <w:pPr>
        <w:spacing w:after="0" w:line="49" w:lineRule="exact"/>
        <w:rPr>
          <w:rFonts w:ascii="Times New Roman" w:cs="Times New Roman" w:eastAsia="Times New Roman" w:hAnsi="Times New Roman"/>
          <w:sz w:val="24"/>
          <w:szCs w:val="24"/>
          <w:color w:val="auto"/>
          <w:vertAlign w:val="superscript"/>
        </w:rPr>
      </w:pPr>
    </w:p>
    <w:p>
      <w:pPr>
        <w:ind w:firstLine="3"/>
        <w:spacing w:after="0" w:line="195" w:lineRule="auto"/>
        <w:tabs>
          <w:tab w:leader="none" w:pos="180" w:val="left"/>
        </w:tabs>
        <w:numPr>
          <w:ilvl w:val="0"/>
          <w:numId w:val="9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Solicitation of contributions encompasses any fundraising activity on behalf of a candidate, campaign or political organization, including direct solicitation, hosting of events and/or aggregating, coordinating or “bundling” the contributions of others.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-36-</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803910</wp:posOffset>
            </wp:positionV>
            <wp:extent cx="71831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380"/>
          </w:cols>
          <w:pgMar w:left="780" w:top="1440" w:right="758" w:bottom="1440" w:gutter="0" w:footer="0" w:header="0"/>
        </w:sectPr>
      </w:pPr>
    </w:p>
    <w:bookmarkStart w:id="106" w:name="page107"/>
    <w:bookmarkEnd w:id="106"/>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33437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6">
                      <a:extLst>
                        <a:ext uri="{28A0092B-C50C-407E-A947-70E740481C1C}"/>
                      </a:extLst>
                    </a:blip>
                    <a:srcRect/>
                    <a:stretch>
                      <a:fillRect/>
                    </a:stretch>
                  </pic:blipFill>
                  <pic:spPr bwMode="auto">
                    <a:xfrm>
                      <a:off x="0" y="0"/>
                      <a:ext cx="7162165" cy="8334375"/>
                    </a:xfrm>
                    <a:prstGeom prst="rect">
                      <a:avLst/>
                    </a:prstGeom>
                    <a:noFill/>
                  </pic:spPr>
                </pic:pic>
              </a:graphicData>
            </a:graphic>
          </wp:anchor>
        </w:drawing>
      </w:r>
    </w:p>
    <w:p>
      <w:pPr>
        <w:ind w:right="60"/>
        <w:spacing w:after="0" w:line="241" w:lineRule="auto"/>
        <w:rPr>
          <w:sz w:val="20"/>
          <w:szCs w:val="20"/>
          <w:color w:val="auto"/>
        </w:rPr>
      </w:pPr>
      <w:r>
        <w:rPr>
          <w:rFonts w:ascii="Times New Roman" w:cs="Times New Roman" w:eastAsia="Times New Roman" w:hAnsi="Times New Roman"/>
          <w:sz w:val="22"/>
          <w:szCs w:val="22"/>
          <w:b w:val="1"/>
          <w:bCs w:val="1"/>
          <w:color w:val="auto"/>
        </w:rPr>
        <w:t>local political campaign, candidate or officeholder, or any political organization (e.g., political party committee and political action committee (“PAC”)). As such, Supervised Persons are prohibited from making or soliciting contributions in the name of or on behalf of OFS Advisers and/or its Affiliates unless otherwise approved by the Compliance Department and a member of Senior Management.</w:t>
      </w:r>
    </w:p>
    <w:p>
      <w:pPr>
        <w:spacing w:after="0" w:line="64" w:lineRule="exact"/>
        <w:rPr>
          <w:sz w:val="20"/>
          <w:szCs w:val="20"/>
          <w:color w:val="auto"/>
        </w:rPr>
      </w:pPr>
    </w:p>
    <w:p>
      <w:pPr>
        <w:jc w:val="both"/>
        <w:ind w:firstLine="692"/>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No Supervised Person of the Firm or his/her Related Persons may engage in any Political Activity for any federal, state, county, or local political campaign, candidate or officeholder, or any political organizations (e.g., political party committee, political action committee), without the prior written approval of a Compliance Officer. Such requests should be submitted via the Firm’s compliance portal. </w:t>
      </w:r>
      <w:r>
        <w:rPr>
          <w:rFonts w:ascii="Times New Roman" w:cs="Times New Roman" w:eastAsia="Times New Roman" w:hAnsi="Times New Roman"/>
          <w:sz w:val="22"/>
          <w:szCs w:val="22"/>
          <w:color w:val="auto"/>
        </w:rPr>
        <w:t>“Political Activity”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purpose of this Policy is defined as monetary or in-kind campaign contributions to, or for the benefit of, any government official, candidate running for office, political party or legislative leadership, politically active non-profit, ballot measure committee or PAC as well as the solicitation and coordination of campaign contributions. Volunteering for a campaign that does not include solicitation or coordination of campaign contributions does not require pre- approval.</w:t>
      </w:r>
    </w:p>
    <w:p>
      <w:pPr>
        <w:spacing w:after="0" w:line="70" w:lineRule="exact"/>
        <w:rPr>
          <w:sz w:val="20"/>
          <w:szCs w:val="20"/>
          <w:color w:val="auto"/>
        </w:rPr>
      </w:pPr>
    </w:p>
    <w:p>
      <w:pPr>
        <w:jc w:val="both"/>
        <w:ind w:firstLine="692"/>
        <w:spacing w:after="0" w:line="232" w:lineRule="auto"/>
        <w:rPr>
          <w:sz w:val="20"/>
          <w:szCs w:val="20"/>
          <w:color w:val="auto"/>
        </w:rPr>
      </w:pPr>
      <w:r>
        <w:rPr>
          <w:rFonts w:ascii="Times New Roman" w:cs="Times New Roman" w:eastAsia="Times New Roman" w:hAnsi="Times New Roman"/>
          <w:sz w:val="22"/>
          <w:szCs w:val="22"/>
          <w:color w:val="auto"/>
        </w:rPr>
        <w:t>A Supervised Person and their Related Persons wishing to engage in a Political Activity must submit a Political Activity pre-clearance request on behalf of the Supervised Person (or his or her Related Person) through the Firm’s compliance portal prior to engaging in Political Activity, and such submission must include all pertinent information related to the proposed activity, including, but not limited to, the individual wishing to contribute, amount of the contribution, the name of the intended recipient, the nature of the recipient’s candidacy, whether the proposed recipient holds an existing political office (whether local, state or federal), and whether the Supervised Person (or his or her Related Person, where applicable) is legally entitled to vote for the proposed recipient. Because of the serious nature of the sanctions applicable to a pay to play violation, requests to engage in Political Activity for candidates seeking election to state and local offices will generally be limited, depending on whether a Supervised Person is legally entitled to vote for the candidate. As such, requests to donate to state or local candidates and officials may be approved up to $350, where the Supervised Person is legally entitled to vote for the candidate, and is limited to $150 or less, where a Supervised Person is not legally entitled to vote for the candidate or where the relevant jurisdiction imposes more restrictive limits. Once approved, Supervised Persons and/or their Related Persons (as applicable) must make the contribution within 60 days of the approval date, unless otherwise noted by Compliance. If the Political Activity is not completed within this time frame, a new preclearance request must be submitted. In addition, if the proposed Political Activity is a monetary contribution, Supervised Persons are responsible for ensuring that the contribution is made solely towards the political campaign or candidate for which it is approved.</w:t>
      </w:r>
    </w:p>
    <w:p>
      <w:pPr>
        <w:spacing w:after="0" w:line="80" w:lineRule="exact"/>
        <w:rPr>
          <w:sz w:val="20"/>
          <w:szCs w:val="20"/>
          <w:color w:val="auto"/>
        </w:rPr>
      </w:pPr>
    </w:p>
    <w:p>
      <w:pPr>
        <w:jc w:val="both"/>
        <w:ind w:firstLine="692"/>
        <w:spacing w:after="0" w:line="238" w:lineRule="auto"/>
        <w:rPr>
          <w:sz w:val="20"/>
          <w:szCs w:val="20"/>
          <w:color w:val="auto"/>
        </w:rPr>
      </w:pPr>
      <w:r>
        <w:rPr>
          <w:rFonts w:ascii="Times New Roman" w:cs="Times New Roman" w:eastAsia="Times New Roman" w:hAnsi="Times New Roman"/>
          <w:sz w:val="22"/>
          <w:szCs w:val="22"/>
          <w:color w:val="auto"/>
        </w:rPr>
        <w:t>The Firm expects that every Supervised Person will explain the importance of compliance with this policy to his/her Related Persons, and ensure their clear understanding of the obligation to follow these requirements. Moreover, the applicable laws in this area are complex and a trap for the unwary - no Supervised Person should attempt to decide for himself or herself whether a Political Activity is prohibited or permissible. Supervised Persons are responsible for complying with and tracking their own Political Activity limits.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-37-</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803910</wp:posOffset>
            </wp:positionV>
            <wp:extent cx="71831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0"/>
          </w:cols>
          <w:pgMar w:left="900" w:top="1440" w:right="878" w:bottom="1440" w:gutter="0" w:footer="0" w:header="0"/>
        </w:sectPr>
      </w:pPr>
    </w:p>
    <w:bookmarkStart w:id="107" w:name="page108"/>
    <w:bookmarkEnd w:id="107"/>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51968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8">
                      <a:extLst>
                        <a:ext uri="{28A0092B-C50C-407E-A947-70E740481C1C}"/>
                      </a:extLst>
                    </a:blip>
                    <a:srcRect/>
                    <a:stretch>
                      <a:fillRect/>
                    </a:stretch>
                  </pic:blipFill>
                  <pic:spPr bwMode="auto">
                    <a:xfrm>
                      <a:off x="0" y="0"/>
                      <a:ext cx="7162165" cy="5196840"/>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22"/>
          <w:szCs w:val="22"/>
          <w:b w:val="1"/>
          <w:bCs w:val="1"/>
          <w:color w:val="auto"/>
        </w:rPr>
        <w:t>2. Indirect Violations</w:t>
      </w:r>
    </w:p>
    <w:p>
      <w:pPr>
        <w:spacing w:after="0" w:line="156" w:lineRule="exact"/>
        <w:rPr>
          <w:sz w:val="20"/>
          <w:szCs w:val="20"/>
          <w:color w:val="auto"/>
        </w:rPr>
      </w:pPr>
    </w:p>
    <w:p>
      <w:pPr>
        <w:jc w:val="both"/>
        <w:ind w:firstLine="692"/>
        <w:spacing w:after="0" w:line="235" w:lineRule="auto"/>
        <w:rPr>
          <w:sz w:val="20"/>
          <w:szCs w:val="20"/>
          <w:color w:val="auto"/>
        </w:rPr>
      </w:pPr>
      <w:r>
        <w:rPr>
          <w:rFonts w:ascii="Times New Roman" w:cs="Times New Roman" w:eastAsia="Times New Roman" w:hAnsi="Times New Roman"/>
          <w:sz w:val="22"/>
          <w:szCs w:val="22"/>
          <w:color w:val="auto"/>
        </w:rPr>
        <w:t>The pay to play laws also prohibit actions taken indirectly that the Firm or its Supervised Persons could not take directly without violating the law. For example, it is improper and unlawful to provide funds to a third party (such as a consultant or attorney) with the understanding that the third party will use such funds to make an otherwise prohibited contribution. Such indirect violations may trigger disqualification of the Firm from receiving compensation and result in other sanctions, including possible criminal penalties. If any Supervised Person learns of facts and circumstances suggesting a possible indirect violation, that Supervised Person must report such facts and circumstances to a Compliance Officer immediately.</w:t>
      </w:r>
    </w:p>
    <w:p>
      <w:pPr>
        <w:spacing w:after="0" w:line="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3. Periodic Disclosure</w:t>
      </w:r>
    </w:p>
    <w:p>
      <w:pPr>
        <w:spacing w:after="0" w:line="156" w:lineRule="exact"/>
        <w:rPr>
          <w:sz w:val="20"/>
          <w:szCs w:val="20"/>
          <w:color w:val="auto"/>
        </w:rPr>
      </w:pPr>
    </w:p>
    <w:p>
      <w:pPr>
        <w:jc w:val="both"/>
        <w:ind w:firstLine="692"/>
        <w:spacing w:after="0" w:line="236" w:lineRule="auto"/>
        <w:rPr>
          <w:sz w:val="20"/>
          <w:szCs w:val="20"/>
          <w:color w:val="auto"/>
        </w:rPr>
      </w:pPr>
      <w:r>
        <w:rPr>
          <w:rFonts w:ascii="Times New Roman" w:cs="Times New Roman" w:eastAsia="Times New Roman" w:hAnsi="Times New Roman"/>
          <w:sz w:val="22"/>
          <w:szCs w:val="22"/>
          <w:color w:val="auto"/>
        </w:rPr>
        <w:t>In order to ensure compliance with this policy, every Supervised Person must submit via the Firm’s compliance portal, an initial disclosure and certification setting forth all of their Political Activity by the Supervised Person and his/her Related Persons for the previous two (2) years or confirming that no such contributions have been made, prior to and at commencement of employment and/or first becoming a Supervised Person. Supervised Persons are also required to disclose and certify all Political Activity in which they or their Related Persons have engaged on a quarterly basis.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-38-</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803910</wp:posOffset>
            </wp:positionV>
            <wp:extent cx="71831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0"/>
          </w:cols>
          <w:pgMar w:left="900" w:top="1440" w:right="878" w:bottom="1440" w:gutter="0" w:footer="0" w:header="0"/>
        </w:sectPr>
      </w:pPr>
    </w:p>
    <w:bookmarkStart w:id="108" w:name="page109"/>
    <w:bookmarkEnd w:id="108"/>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02576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0">
                      <a:extLst>
                        <a:ext uri="{28A0092B-C50C-407E-A947-70E740481C1C}"/>
                      </a:extLst>
                    </a:blip>
                    <a:srcRect/>
                    <a:stretch>
                      <a:fillRect/>
                    </a:stretch>
                  </pic:blipFill>
                  <pic:spPr bwMode="auto">
                    <a:xfrm>
                      <a:off x="0" y="0"/>
                      <a:ext cx="7162165" cy="8025765"/>
                    </a:xfrm>
                    <a:prstGeom prst="rect">
                      <a:avLst/>
                    </a:prstGeom>
                    <a:noFill/>
                  </pic:spPr>
                </pic:pic>
              </a:graphicData>
            </a:graphic>
          </wp:anchor>
        </w:drawing>
      </w:r>
    </w:p>
    <w:p>
      <w:pPr>
        <w:ind w:left="3687" w:hanging="697"/>
        <w:spacing w:after="0"/>
        <w:tabs>
          <w:tab w:leader="none" w:pos="3687" w:val="left"/>
        </w:tabs>
        <w:numPr>
          <w:ilvl w:val="1"/>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OUTSIDE AFFILIATIONS POLICY</w:t>
      </w:r>
    </w:p>
    <w:p>
      <w:pPr>
        <w:spacing w:after="0" w:line="206" w:lineRule="exact"/>
        <w:rPr>
          <w:rFonts w:ascii="Times New Roman" w:cs="Times New Roman" w:eastAsia="Times New Roman" w:hAnsi="Times New Roman"/>
          <w:sz w:val="22"/>
          <w:szCs w:val="22"/>
          <w:b w:val="1"/>
          <w:bCs w:val="1"/>
          <w:color w:val="auto"/>
        </w:rPr>
      </w:pPr>
    </w:p>
    <w:p>
      <w:pPr>
        <w:ind w:left="687" w:hanging="687"/>
        <w:spacing w:after="0"/>
        <w:tabs>
          <w:tab w:leader="none" w:pos="687"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OUTSIDE BUSINESS ACTIVITIES</w:t>
      </w:r>
    </w:p>
    <w:p>
      <w:pPr>
        <w:spacing w:after="0" w:line="210" w:lineRule="exact"/>
        <w:rPr>
          <w:rFonts w:ascii="Times New Roman" w:cs="Times New Roman" w:eastAsia="Times New Roman" w:hAnsi="Times New Roman"/>
          <w:sz w:val="22"/>
          <w:szCs w:val="22"/>
          <w:b w:val="1"/>
          <w:bCs w:val="1"/>
          <w:color w:val="auto"/>
        </w:rPr>
      </w:pPr>
    </w:p>
    <w:p>
      <w:pPr>
        <w:ind w:left="687"/>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From time to time, Supervised Persons may be asked and/or desire to own, work for or serve as a general</w:t>
      </w:r>
    </w:p>
    <w:p>
      <w:pPr>
        <w:spacing w:after="0" w:line="14" w:lineRule="exact"/>
        <w:rPr>
          <w:sz w:val="20"/>
          <w:szCs w:val="20"/>
          <w:color w:val="auto"/>
        </w:rPr>
      </w:pPr>
    </w:p>
    <w:p>
      <w:pPr>
        <w:jc w:val="both"/>
        <w:ind w:left="7"/>
        <w:spacing w:after="0" w:line="234" w:lineRule="auto"/>
        <w:rPr>
          <w:sz w:val="20"/>
          <w:szCs w:val="20"/>
          <w:color w:val="auto"/>
        </w:rPr>
      </w:pPr>
      <w:r>
        <w:rPr>
          <w:rFonts w:ascii="Times New Roman" w:cs="Times New Roman" w:eastAsia="Times New Roman" w:hAnsi="Times New Roman"/>
          <w:sz w:val="22"/>
          <w:szCs w:val="22"/>
          <w:color w:val="auto"/>
        </w:rPr>
        <w:t>partner, managing member, principal, proprietor, consultant, agent, representative, or employees of an outside organization for or without compensation, all of which are considered “Outside Business Activities”. These organizations may include, but are not limited to, public or private corporations, limited and general partnerships, family offices, endowments, and foundations.</w:t>
      </w:r>
    </w:p>
    <w:p>
      <w:pPr>
        <w:spacing w:after="0" w:line="69" w:lineRule="exact"/>
        <w:rPr>
          <w:sz w:val="20"/>
          <w:szCs w:val="20"/>
          <w:color w:val="auto"/>
        </w:rPr>
      </w:pPr>
    </w:p>
    <w:p>
      <w:pPr>
        <w:jc w:val="both"/>
        <w:ind w:left="7" w:firstLine="692"/>
        <w:spacing w:after="0" w:line="239" w:lineRule="auto"/>
        <w:rPr>
          <w:sz w:val="20"/>
          <w:szCs w:val="20"/>
          <w:color w:val="auto"/>
        </w:rPr>
      </w:pPr>
      <w:r>
        <w:rPr>
          <w:rFonts w:ascii="Times New Roman" w:cs="Times New Roman" w:eastAsia="Times New Roman" w:hAnsi="Times New Roman"/>
          <w:sz w:val="22"/>
          <w:szCs w:val="22"/>
          <w:color w:val="auto"/>
        </w:rPr>
        <w:t>In addition, Outside Business Activities may include a Supervised Person’s personal publications regarding credit investments or a Supervised Person’s personal use of social media for actual or intended monetary benefit. Examples of such publications or social media include, but are not limited to, printed articles, weblogs, video logs, You Tube, X, Instagram and TikTok.</w:t>
      </w:r>
    </w:p>
    <w:p>
      <w:pPr>
        <w:spacing w:after="0" w:line="72" w:lineRule="exact"/>
        <w:rPr>
          <w:sz w:val="20"/>
          <w:szCs w:val="20"/>
          <w:color w:val="auto"/>
        </w:rPr>
      </w:pPr>
    </w:p>
    <w:p>
      <w:pPr>
        <w:jc w:val="both"/>
        <w:ind w:left="7" w:firstLine="692"/>
        <w:spacing w:after="0" w:line="239" w:lineRule="auto"/>
        <w:rPr>
          <w:sz w:val="20"/>
          <w:szCs w:val="20"/>
          <w:color w:val="auto"/>
        </w:rPr>
      </w:pPr>
      <w:r>
        <w:rPr>
          <w:rFonts w:ascii="Times New Roman" w:cs="Times New Roman" w:eastAsia="Times New Roman" w:hAnsi="Times New Roman"/>
          <w:sz w:val="22"/>
          <w:szCs w:val="22"/>
          <w:color w:val="auto"/>
        </w:rPr>
        <w:t xml:space="preserve">Outside Business Activities may, however, create potential conflicts of interest and/or provide access to MNPI. In order for the Compliance Department to address these potential issues, </w:t>
      </w:r>
      <w:r>
        <w:rPr>
          <w:rFonts w:ascii="Times New Roman" w:cs="Times New Roman" w:eastAsia="Times New Roman" w:hAnsi="Times New Roman"/>
          <w:sz w:val="22"/>
          <w:szCs w:val="22"/>
          <w:b w:val="1"/>
          <w:bCs w:val="1"/>
          <w:color w:val="auto"/>
        </w:rPr>
        <w:t>Supervised Persons must obtain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prior approval from their supervisor and a Compliance Officer to engage in Outside Business Activities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 should be requested through the Firm’s compliance portal.</w:t>
      </w:r>
    </w:p>
    <w:p>
      <w:pPr>
        <w:spacing w:after="0" w:line="72" w:lineRule="exact"/>
        <w:rPr>
          <w:sz w:val="20"/>
          <w:szCs w:val="20"/>
          <w:color w:val="auto"/>
        </w:rPr>
      </w:pPr>
    </w:p>
    <w:p>
      <w:pPr>
        <w:jc w:val="both"/>
        <w:ind w:left="7" w:firstLine="692"/>
        <w:spacing w:after="0" w:line="253" w:lineRule="auto"/>
        <w:rPr>
          <w:sz w:val="20"/>
          <w:szCs w:val="20"/>
          <w:color w:val="auto"/>
        </w:rPr>
      </w:pPr>
      <w:r>
        <w:rPr>
          <w:rFonts w:ascii="Times New Roman" w:cs="Times New Roman" w:eastAsia="Times New Roman" w:hAnsi="Times New Roman"/>
          <w:sz w:val="21"/>
          <w:szCs w:val="21"/>
          <w:color w:val="auto"/>
        </w:rPr>
        <w:t xml:space="preserve">Prior approval is generally not required to assume positions with charitable and other non- profit organizations or civic and trade associations, unless the position entails a directorship or officer role. </w:t>
      </w:r>
      <w:r>
        <w:rPr>
          <w:rFonts w:ascii="Times New Roman" w:cs="Times New Roman" w:eastAsia="Times New Roman" w:hAnsi="Times New Roman"/>
          <w:sz w:val="21"/>
          <w:szCs w:val="21"/>
          <w:b w:val="1"/>
          <w:bCs w:val="1"/>
          <w:color w:val="auto"/>
        </w:rPr>
        <w:t>Additionally,</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left="7"/>
        <w:spacing w:after="0" w:line="234" w:lineRule="auto"/>
        <w:rPr>
          <w:sz w:val="20"/>
          <w:szCs w:val="20"/>
          <w:color w:val="auto"/>
        </w:rPr>
      </w:pPr>
      <w:r>
        <w:rPr>
          <w:rFonts w:ascii="Times New Roman" w:cs="Times New Roman" w:eastAsia="Times New Roman" w:hAnsi="Times New Roman"/>
          <w:sz w:val="22"/>
          <w:szCs w:val="22"/>
          <w:b w:val="1"/>
          <w:bCs w:val="1"/>
          <w:color w:val="auto"/>
        </w:rPr>
        <w:t>However, you must obtain prior approval from your supervisor and a Compliance Officer if, 1) your position entails a directorship or officer role, 2) your responsibilities will include the provision of investment advice, such as participation on the investment committee of a non-profit organization, or 3) the organization is a client or business partner of the Firm or its Affiliates.</w:t>
      </w:r>
    </w:p>
    <w:p>
      <w:pPr>
        <w:spacing w:after="0" w:line="65" w:lineRule="exact"/>
        <w:rPr>
          <w:sz w:val="20"/>
          <w:szCs w:val="20"/>
          <w:color w:val="auto"/>
        </w:rPr>
      </w:pPr>
    </w:p>
    <w:p>
      <w:pPr>
        <w:ind w:left="687" w:hanging="687"/>
        <w:spacing w:after="0"/>
        <w:tabs>
          <w:tab w:leader="none" w:pos="687"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DIRECTOR AND OFFICER POSITIONS</w:t>
      </w:r>
    </w:p>
    <w:p>
      <w:pPr>
        <w:spacing w:after="0" w:line="210" w:lineRule="exact"/>
        <w:rPr>
          <w:sz w:val="20"/>
          <w:szCs w:val="20"/>
          <w:color w:val="auto"/>
        </w:rPr>
      </w:pPr>
    </w:p>
    <w:p>
      <w:pPr>
        <w:jc w:val="both"/>
        <w:ind w:left="7" w:firstLine="692"/>
        <w:spacing w:after="0" w:line="238" w:lineRule="auto"/>
        <w:rPr>
          <w:sz w:val="20"/>
          <w:szCs w:val="20"/>
          <w:color w:val="auto"/>
        </w:rPr>
      </w:pPr>
      <w:r>
        <w:rPr>
          <w:rFonts w:ascii="Times New Roman" w:cs="Times New Roman" w:eastAsia="Times New Roman" w:hAnsi="Times New Roman"/>
          <w:sz w:val="22"/>
          <w:szCs w:val="22"/>
          <w:color w:val="auto"/>
        </w:rPr>
        <w:t>In other instances, Supervised Persons may be asked or desire to serve as a director, trustee or officer, with or without compensation, for organizations unaffiliated with the Firm and its Affiliates (“</w:t>
      </w:r>
      <w:r>
        <w:rPr>
          <w:rFonts w:ascii="Times New Roman" w:cs="Times New Roman" w:eastAsia="Times New Roman" w:hAnsi="Times New Roman"/>
          <w:sz w:val="22"/>
          <w:szCs w:val="22"/>
          <w:b w:val="1"/>
          <w:bCs w:val="1"/>
          <w:color w:val="auto"/>
        </w:rPr>
        <w:t>Outside Director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Officer Positions</w:t>
      </w:r>
      <w:r>
        <w:rPr>
          <w:rFonts w:ascii="Times New Roman" w:cs="Times New Roman" w:eastAsia="Times New Roman" w:hAnsi="Times New Roman"/>
          <w:sz w:val="22"/>
          <w:szCs w:val="22"/>
          <w:color w:val="auto"/>
        </w:rPr>
        <w:t>”). Separately, Supervised Persons may be asked to serve as a director or officer, with or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for organizations that are affiliated with the Firm, or its Affiliates (“</w:t>
      </w:r>
      <w:r>
        <w:rPr>
          <w:rFonts w:ascii="Times New Roman" w:cs="Times New Roman" w:eastAsia="Times New Roman" w:hAnsi="Times New Roman"/>
          <w:sz w:val="22"/>
          <w:szCs w:val="22"/>
          <w:b w:val="1"/>
          <w:bCs w:val="1"/>
          <w:color w:val="auto"/>
        </w:rPr>
        <w:t>Affiliated Director and Officer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Positions</w:t>
      </w:r>
      <w:r>
        <w:rPr>
          <w:rFonts w:ascii="Times New Roman" w:cs="Times New Roman" w:eastAsia="Times New Roman" w:hAnsi="Times New Roman"/>
          <w:sz w:val="22"/>
          <w:szCs w:val="22"/>
          <w:color w:val="auto"/>
        </w:rPr>
        <w:t>”).</w:t>
      </w:r>
    </w:p>
    <w:p>
      <w:pPr>
        <w:spacing w:after="0" w:line="69" w:lineRule="exact"/>
        <w:rPr>
          <w:sz w:val="20"/>
          <w:szCs w:val="20"/>
          <w:color w:val="auto"/>
        </w:rPr>
      </w:pPr>
    </w:p>
    <w:p>
      <w:pPr>
        <w:jc w:val="both"/>
        <w:ind w:left="7" w:firstLine="692"/>
        <w:spacing w:after="0" w:line="244" w:lineRule="auto"/>
        <w:rPr>
          <w:sz w:val="20"/>
          <w:szCs w:val="20"/>
          <w:color w:val="auto"/>
        </w:rPr>
      </w:pPr>
      <w:r>
        <w:rPr>
          <w:rFonts w:ascii="Times New Roman" w:cs="Times New Roman" w:eastAsia="Times New Roman" w:hAnsi="Times New Roman"/>
          <w:sz w:val="22"/>
          <w:szCs w:val="22"/>
          <w:color w:val="auto"/>
        </w:rPr>
        <w:t>As a prospective board member, trustee or officer, it is critical that you coordinate with the Compliance Department to ensure that potential conflicts of interest are addressed and special measures are taken to handle and maintain the confidentiality of any information that you may obtain in your new position.</w:t>
      </w:r>
    </w:p>
    <w:p>
      <w:pPr>
        <w:spacing w:after="0" w:line="38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Page -39-</w:t>
      </w:r>
    </w:p>
    <w:p>
      <w:pPr>
        <w:spacing w:after="0" w:line="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803910</wp:posOffset>
            </wp:positionV>
            <wp:extent cx="71831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7"/>
          </w:cols>
          <w:pgMar w:left="893" w:top="1440" w:right="878" w:bottom="1440" w:gutter="0" w:footer="0" w:header="0"/>
        </w:sectPr>
      </w:pPr>
    </w:p>
    <w:bookmarkStart w:id="109" w:name="page110"/>
    <w:bookmarkEnd w:id="109"/>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78803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2">
                      <a:extLst>
                        <a:ext uri="{28A0092B-C50C-407E-A947-70E740481C1C}"/>
                      </a:extLst>
                    </a:blip>
                    <a:srcRect/>
                    <a:stretch>
                      <a:fillRect/>
                    </a:stretch>
                  </pic:blipFill>
                  <pic:spPr bwMode="auto">
                    <a:xfrm>
                      <a:off x="0" y="0"/>
                      <a:ext cx="7162165" cy="7880350"/>
                    </a:xfrm>
                    <a:prstGeom prst="rect">
                      <a:avLst/>
                    </a:prstGeom>
                    <a:noFill/>
                  </pic:spPr>
                </pic:pic>
              </a:graphicData>
            </a:graphic>
          </wp:anchor>
        </w:drawing>
      </w:r>
    </w:p>
    <w:p>
      <w:pPr>
        <w:ind w:left="827" w:hanging="246"/>
        <w:spacing w:after="0"/>
        <w:tabs>
          <w:tab w:leader="none" w:pos="827"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Outside Director and Officer Positions</w:t>
      </w:r>
    </w:p>
    <w:p>
      <w:pPr>
        <w:spacing w:after="0" w:line="152" w:lineRule="exact"/>
        <w:rPr>
          <w:sz w:val="20"/>
          <w:szCs w:val="20"/>
          <w:color w:val="auto"/>
        </w:rPr>
      </w:pPr>
    </w:p>
    <w:p>
      <w:pPr>
        <w:jc w:val="both"/>
        <w:ind w:left="107" w:right="100" w:firstLine="762"/>
        <w:spacing w:after="0" w:line="237" w:lineRule="auto"/>
        <w:rPr>
          <w:sz w:val="20"/>
          <w:szCs w:val="20"/>
          <w:color w:val="auto"/>
        </w:rPr>
      </w:pPr>
      <w:r>
        <w:rPr>
          <w:rFonts w:ascii="Times New Roman" w:cs="Times New Roman" w:eastAsia="Times New Roman" w:hAnsi="Times New Roman"/>
          <w:sz w:val="22"/>
          <w:szCs w:val="22"/>
          <w:b w:val="1"/>
          <w:bCs w:val="1"/>
          <w:color w:val="auto"/>
        </w:rPr>
        <w:t>As such, in the event that you wish to assume an Outside Director and Officer Position, you must obtain prior approval from your supervisor and a Compliance Officer</w:t>
      </w:r>
      <w:r>
        <w:rPr>
          <w:rFonts w:ascii="Times New Roman" w:cs="Times New Roman" w:eastAsia="Times New Roman" w:hAnsi="Times New Roman"/>
          <w:sz w:val="22"/>
          <w:szCs w:val="22"/>
          <w:color w:val="auto"/>
        </w:rPr>
        <w:t>. Outside Director and Officer Positions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will be approved only if any associated conflicts of interest and risks, actual or apparent, can be satisfactorily mitigated or resolved. Please note, however, you are not </w:t>
      </w:r>
      <w:r>
        <w:rPr>
          <w:rFonts w:ascii="Times New Roman" w:cs="Times New Roman" w:eastAsia="Times New Roman" w:hAnsi="Times New Roman"/>
          <w:sz w:val="19"/>
          <w:szCs w:val="19"/>
          <w:color w:val="auto"/>
        </w:rPr>
        <w:t>required to seek pre-approval or provide disclosure to serve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 board member or officer of a personal residential organization, such as a homeowner’s association or coop board, or an entity formed for personal estate planning purposes.</w:t>
      </w:r>
    </w:p>
    <w:p>
      <w:pPr>
        <w:spacing w:after="0" w:line="371" w:lineRule="exact"/>
        <w:rPr>
          <w:sz w:val="20"/>
          <w:szCs w:val="20"/>
          <w:color w:val="auto"/>
        </w:rPr>
      </w:pPr>
    </w:p>
    <w:p>
      <w:pPr>
        <w:ind w:left="827" w:hanging="246"/>
        <w:spacing w:after="0"/>
        <w:tabs>
          <w:tab w:leader="none" w:pos="827"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Affiliated Positions</w:t>
      </w:r>
    </w:p>
    <w:p>
      <w:pPr>
        <w:spacing w:after="0" w:line="152" w:lineRule="exact"/>
        <w:rPr>
          <w:sz w:val="20"/>
          <w:szCs w:val="20"/>
          <w:color w:val="auto"/>
        </w:rPr>
      </w:pPr>
    </w:p>
    <w:p>
      <w:pPr>
        <w:jc w:val="both"/>
        <w:ind w:left="7" w:firstLine="692"/>
        <w:spacing w:after="0" w:line="241" w:lineRule="auto"/>
        <w:rPr>
          <w:sz w:val="20"/>
          <w:szCs w:val="20"/>
          <w:color w:val="auto"/>
        </w:rPr>
      </w:pPr>
      <w:r>
        <w:rPr>
          <w:rFonts w:ascii="Times New Roman" w:cs="Times New Roman" w:eastAsia="Times New Roman" w:hAnsi="Times New Roman"/>
          <w:sz w:val="22"/>
          <w:szCs w:val="22"/>
          <w:b w:val="1"/>
          <w:bCs w:val="1"/>
          <w:color w:val="auto"/>
        </w:rPr>
        <w:t>If you are assuming an Affiliated Director and Officer Position, you must only disclose your new position to the Compliance Department and in a timely manner</w:t>
      </w:r>
      <w:r>
        <w:rPr>
          <w:rFonts w:ascii="Times New Roman" w:cs="Times New Roman" w:eastAsia="Times New Roman" w:hAnsi="Times New Roman"/>
          <w:sz w:val="22"/>
          <w:szCs w:val="22"/>
          <w:color w:val="auto"/>
        </w:rPr>
        <w:t>. However, you are not required to pre-clear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disclose director or officer positions with holding companies, or “pass- through” entities affiliated with OFS, the OFS Funds or the OFS Funds’ underlying assets.</w:t>
      </w:r>
    </w:p>
    <w:p>
      <w:pPr>
        <w:spacing w:after="0" w:line="68" w:lineRule="exact"/>
        <w:rPr>
          <w:sz w:val="20"/>
          <w:szCs w:val="20"/>
          <w:color w:val="auto"/>
        </w:rPr>
      </w:pPr>
    </w:p>
    <w:p>
      <w:pPr>
        <w:ind w:left="687"/>
        <w:spacing w:after="0"/>
        <w:rPr>
          <w:sz w:val="20"/>
          <w:szCs w:val="20"/>
          <w:color w:val="auto"/>
        </w:rPr>
      </w:pPr>
      <w:r>
        <w:rPr>
          <w:rFonts w:ascii="Times New Roman" w:cs="Times New Roman" w:eastAsia="Times New Roman" w:hAnsi="Times New Roman"/>
          <w:sz w:val="22"/>
          <w:szCs w:val="22"/>
          <w:color w:val="auto"/>
        </w:rPr>
        <w:t>Disclosures of Affiliated Director and Officer Positions should be made through the Firms’ compliance</w:t>
      </w:r>
    </w:p>
    <w:p>
      <w:pPr>
        <w:spacing w:after="0" w:line="1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portal.</w:t>
      </w:r>
    </w:p>
    <w:p>
      <w:pPr>
        <w:spacing w:after="0" w:line="70" w:lineRule="exact"/>
        <w:rPr>
          <w:sz w:val="20"/>
          <w:szCs w:val="20"/>
          <w:color w:val="auto"/>
        </w:rPr>
      </w:pPr>
    </w:p>
    <w:p>
      <w:pPr>
        <w:ind w:left="687" w:hanging="687"/>
        <w:spacing w:after="0"/>
        <w:tabs>
          <w:tab w:leader="none" w:pos="687"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RELATIONSHIPS</w:t>
      </w:r>
    </w:p>
    <w:p>
      <w:pPr>
        <w:spacing w:after="0" w:line="210" w:lineRule="exact"/>
        <w:rPr>
          <w:sz w:val="20"/>
          <w:szCs w:val="20"/>
          <w:color w:val="auto"/>
        </w:rPr>
      </w:pPr>
    </w:p>
    <w:p>
      <w:pPr>
        <w:jc w:val="both"/>
        <w:ind w:left="7" w:firstLine="692"/>
        <w:spacing w:after="0" w:line="233" w:lineRule="auto"/>
        <w:rPr>
          <w:sz w:val="20"/>
          <w:szCs w:val="20"/>
          <w:color w:val="auto"/>
        </w:rPr>
      </w:pPr>
      <w:r>
        <w:rPr>
          <w:rFonts w:ascii="Times New Roman" w:cs="Times New Roman" w:eastAsia="Times New Roman" w:hAnsi="Times New Roman"/>
          <w:sz w:val="22"/>
          <w:szCs w:val="22"/>
          <w:color w:val="auto"/>
        </w:rPr>
        <w:t>The Firm needs to be aware of relationships maintained by Supervised Persons with third parties that may create the potential for conflicts of interest. The Firm uses this information to assess the need to prohibit certain Supervised Persons from handling matters where such a conflict exists or institute mitigating controls surrounding the levels of business activity or contract negotiations where a relationship posing a conflict has been identified. This may include situations where a Supervised Person’s Related Person or Family Member is: 1) a director, an owner of more than 5% of or a senior management executive of a public company, 2) employed or engaged by a company with which the Firm is conducting or may conduct business, and such Related Person or Family Member is in a position to make decisions with respect to such business or is directly involved with the relationship with the Firm (e.g. a law firm, real estate broker or general contractor), or 3) employed with or serving in an office of a state or local government entity (e.g., city retirement system, state office, public university), in which the Related Person or Family Member has the authority, directly or indirectly, to affect the entity’s current or prospective relationship with the Firm. Such relationships should be disclosed using the Firm’s compliance portal.</w:t>
      </w:r>
    </w:p>
    <w:p>
      <w:pPr>
        <w:spacing w:after="0" w:line="77" w:lineRule="exact"/>
        <w:rPr>
          <w:sz w:val="20"/>
          <w:szCs w:val="20"/>
          <w:color w:val="auto"/>
        </w:rPr>
      </w:pPr>
    </w:p>
    <w:p>
      <w:pPr>
        <w:jc w:val="both"/>
        <w:ind w:left="7" w:firstLine="692"/>
        <w:spacing w:after="0" w:line="258" w:lineRule="auto"/>
        <w:rPr>
          <w:sz w:val="20"/>
          <w:szCs w:val="20"/>
          <w:color w:val="auto"/>
        </w:rPr>
      </w:pPr>
      <w:r>
        <w:rPr>
          <w:rFonts w:ascii="Times New Roman" w:cs="Times New Roman" w:eastAsia="Times New Roman" w:hAnsi="Times New Roman"/>
          <w:sz w:val="22"/>
          <w:szCs w:val="22"/>
          <w:color w:val="auto"/>
        </w:rPr>
        <w:t xml:space="preserve">For purposes of this Code, “Family Member” means the parents, children, brothers, sisters, aunts, uncles, and in-laws of the Supervised Person </w:t>
      </w:r>
      <w:r>
        <w:rPr>
          <w:rFonts w:ascii="Times New Roman" w:cs="Times New Roman" w:eastAsia="Times New Roman" w:hAnsi="Times New Roman"/>
          <w:sz w:val="22"/>
          <w:szCs w:val="22"/>
          <w:i w:val="1"/>
          <w:iCs w:val="1"/>
          <w:color w:val="auto"/>
        </w:rPr>
        <w:t>regardless of residence, financial dependence, or investment control.</w:t>
      </w:r>
    </w:p>
    <w:p>
      <w:pPr>
        <w:spacing w:after="0" w:line="37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Page -40-</w:t>
      </w:r>
    </w:p>
    <w:p>
      <w:pPr>
        <w:spacing w:after="0" w:line="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812800</wp:posOffset>
            </wp:positionV>
            <wp:extent cx="71831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7"/>
          </w:cols>
          <w:pgMar w:left="893" w:top="1440" w:right="878" w:bottom="1440" w:gutter="0" w:footer="0" w:header="0"/>
        </w:sectPr>
      </w:pPr>
    </w:p>
    <w:bookmarkStart w:id="110" w:name="page111"/>
    <w:bookmarkEnd w:id="110"/>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420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4">
                      <a:extLst>
                        <a:ext uri="{28A0092B-C50C-407E-A947-70E740481C1C}"/>
                      </a:extLst>
                    </a:blip>
                    <a:srcRect/>
                    <a:stretch>
                      <a:fillRect/>
                    </a:stretch>
                  </pic:blipFill>
                  <pic:spPr bwMode="auto">
                    <a:xfrm>
                      <a:off x="0" y="0"/>
                      <a:ext cx="7162165" cy="8420100"/>
                    </a:xfrm>
                    <a:prstGeom prst="rect">
                      <a:avLst/>
                    </a:prstGeom>
                    <a:noFill/>
                  </pic:spPr>
                </pic:pic>
              </a:graphicData>
            </a:graphic>
          </wp:anchor>
        </w:drawing>
      </w:r>
    </w:p>
    <w:p>
      <w:pPr>
        <w:jc w:val="center"/>
        <w:ind w:left="3260"/>
        <w:spacing w:after="0"/>
        <w:tabs>
          <w:tab w:leader="none" w:pos="38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u w:val="single" w:color="auto"/>
          <w:color w:val="auto"/>
        </w:rPr>
        <w:t>ANTI-CORRUPTION POLICY</w:t>
      </w:r>
    </w:p>
    <w:p>
      <w:pPr>
        <w:spacing w:after="0" w:line="200" w:lineRule="exact"/>
        <w:rPr>
          <w:sz w:val="20"/>
          <w:szCs w:val="20"/>
          <w:color w:val="auto"/>
        </w:rPr>
      </w:pPr>
    </w:p>
    <w:p>
      <w:pPr>
        <w:spacing w:after="0" w:line="361" w:lineRule="exact"/>
        <w:rPr>
          <w:sz w:val="20"/>
          <w:szCs w:val="20"/>
          <w:color w:val="auto"/>
        </w:rPr>
      </w:pPr>
    </w:p>
    <w:p>
      <w:pPr>
        <w:jc w:val="both"/>
        <w:ind w:firstLine="692"/>
        <w:spacing w:after="0" w:line="235" w:lineRule="auto"/>
        <w:rPr>
          <w:sz w:val="20"/>
          <w:szCs w:val="20"/>
          <w:color w:val="auto"/>
        </w:rPr>
      </w:pPr>
      <w:r>
        <w:rPr>
          <w:rFonts w:ascii="Times New Roman" w:cs="Times New Roman" w:eastAsia="Times New Roman" w:hAnsi="Times New Roman"/>
          <w:sz w:val="22"/>
          <w:szCs w:val="22"/>
          <w:color w:val="auto"/>
        </w:rPr>
        <w:t>The purpose of the OFS Adviser’s Anti-Corruption Policy is to ensure compliance by the Firm and its employees with applicable anti-bribery laws. As such, the Policy prohibits OFS Adviser employees from offering, promising, paying or providing, or authorizing the promising, paying or providing (in each case, directly or indirectly, including through third parties) of any amount of money or anything of value to any Public Official or Private Sector Counterparty (defined below), including a person actually known to be an immediate family member of such parties, in order to improperly influence or reward any action or decision by such person for the Firm’s benefit.</w:t>
      </w:r>
    </w:p>
    <w:p>
      <w:pPr>
        <w:spacing w:after="0" w:line="75" w:lineRule="exact"/>
        <w:rPr>
          <w:sz w:val="20"/>
          <w:szCs w:val="20"/>
          <w:color w:val="auto"/>
        </w:rPr>
      </w:pPr>
    </w:p>
    <w:p>
      <w:pPr>
        <w:jc w:val="both"/>
        <w:ind w:firstLine="692"/>
        <w:spacing w:after="0" w:line="258" w:lineRule="auto"/>
        <w:rPr>
          <w:sz w:val="20"/>
          <w:szCs w:val="20"/>
          <w:color w:val="auto"/>
        </w:rPr>
      </w:pPr>
      <w:r>
        <w:rPr>
          <w:rFonts w:ascii="Times New Roman" w:cs="Times New Roman" w:eastAsia="Times New Roman" w:hAnsi="Times New Roman"/>
          <w:sz w:val="22"/>
          <w:szCs w:val="22"/>
          <w:color w:val="auto"/>
        </w:rPr>
        <w:t>Neither funds from the Firm nor funds from any other source may be used to make any such payment or gift on behalf of or for the Firm’s benefit.</w:t>
      </w:r>
    </w:p>
    <w:p>
      <w:pPr>
        <w:spacing w:after="0" w:line="46" w:lineRule="exact"/>
        <w:rPr>
          <w:sz w:val="20"/>
          <w:szCs w:val="20"/>
          <w:color w:val="auto"/>
        </w:rPr>
      </w:pPr>
    </w:p>
    <w:p>
      <w:pPr>
        <w:ind w:left="1400" w:hanging="687"/>
        <w:spacing w:after="0"/>
        <w:tabs>
          <w:tab w:leader="none" w:pos="140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INTERACTION WITH PUBLIC OFFICIALS</w:t>
      </w:r>
    </w:p>
    <w:p>
      <w:pPr>
        <w:spacing w:after="0" w:line="210" w:lineRule="exact"/>
        <w:rPr>
          <w:sz w:val="20"/>
          <w:szCs w:val="20"/>
          <w:color w:val="auto"/>
        </w:rPr>
      </w:pPr>
    </w:p>
    <w:p>
      <w:pPr>
        <w:jc w:val="both"/>
        <w:ind w:firstLine="692"/>
        <w:spacing w:after="0" w:line="239" w:lineRule="auto"/>
        <w:rPr>
          <w:sz w:val="20"/>
          <w:szCs w:val="20"/>
          <w:color w:val="auto"/>
        </w:rPr>
      </w:pPr>
      <w:r>
        <w:rPr>
          <w:rFonts w:ascii="Times New Roman" w:cs="Times New Roman" w:eastAsia="Times New Roman" w:hAnsi="Times New Roman"/>
          <w:sz w:val="22"/>
          <w:szCs w:val="22"/>
          <w:color w:val="auto"/>
        </w:rPr>
        <w:t>The U.S. Foreign Corrupt Practices Act (also referred to as the “FCPA”) is a U.S. federal law that generally prohibits the bribery of foreign officials (also referred to as “Public Officials”), directly or indirectly, by any individual, business entity or employee of any such entity for the purpose of obtaining or retaining business and/or gaining an unfair advantage.</w:t>
      </w:r>
    </w:p>
    <w:p>
      <w:pPr>
        <w:spacing w:after="0" w:line="72" w:lineRule="exact"/>
        <w:rPr>
          <w:sz w:val="20"/>
          <w:szCs w:val="20"/>
          <w:color w:val="auto"/>
        </w:rPr>
      </w:pPr>
    </w:p>
    <w:p>
      <w:pPr>
        <w:jc w:val="both"/>
        <w:ind w:firstLine="692"/>
        <w:spacing w:after="0" w:line="234" w:lineRule="auto"/>
        <w:rPr>
          <w:sz w:val="20"/>
          <w:szCs w:val="20"/>
          <w:color w:val="auto"/>
        </w:rPr>
      </w:pPr>
      <w:r>
        <w:rPr>
          <w:rFonts w:ascii="Times New Roman" w:cs="Times New Roman" w:eastAsia="Times New Roman" w:hAnsi="Times New Roman"/>
          <w:sz w:val="22"/>
          <w:szCs w:val="22"/>
          <w:color w:val="auto"/>
        </w:rPr>
        <w:t>“Public Official”, for purposes of this Policy, includes any person who is employed full- or part-time by a government, or by regional subdivisions of governments, including states, provinces, districts, counties, cities, towns and villages or by independent agencies, state-owned businesses, state- controlled businesses or public academic institutions. This would include, for example, employees of sovereign wealth funds, government-sponsored pension plans (i.e. pension plans for the benefit of government employees), heads of state, lower level employees of state-controlled businesses and government-sponsored university endowments. “Public Official” also includes political party officials and candidates for political office. For example, a campaign contribution is the equivalent of a payment to a Public Official under the FCPA. In certain cases, providing a payment or thing of value to a person actually known to be an immediate family member of a Public Official or a charity associated with a Public Official may be the equivalent of providing a thing of value to the Public Official directly.</w:t>
      </w:r>
    </w:p>
    <w:p>
      <w:pPr>
        <w:spacing w:after="0" w:line="71" w:lineRule="exact"/>
        <w:rPr>
          <w:sz w:val="20"/>
          <w:szCs w:val="20"/>
          <w:color w:val="auto"/>
        </w:rPr>
      </w:pPr>
    </w:p>
    <w:p>
      <w:pPr>
        <w:jc w:val="both"/>
        <w:ind w:firstLine="692"/>
        <w:spacing w:after="0" w:line="244" w:lineRule="auto"/>
        <w:rPr>
          <w:sz w:val="20"/>
          <w:szCs w:val="20"/>
          <w:color w:val="auto"/>
        </w:rPr>
      </w:pPr>
      <w:r>
        <w:rPr>
          <w:rFonts w:ascii="Times New Roman" w:cs="Times New Roman" w:eastAsia="Times New Roman" w:hAnsi="Times New Roman"/>
          <w:sz w:val="22"/>
          <w:szCs w:val="22"/>
          <w:color w:val="auto"/>
        </w:rPr>
        <w:t>Under the FCPA, the employees of public international organizations, such as the African and Asian Development Banks, the European Union, the International Monetary Fund, the United Nations, and the Organization of American States, are considered Public Officials.</w:t>
      </w:r>
    </w:p>
    <w:p>
      <w:pPr>
        <w:spacing w:after="0" w:line="65" w:lineRule="exact"/>
        <w:rPr>
          <w:sz w:val="20"/>
          <w:szCs w:val="20"/>
          <w:color w:val="auto"/>
        </w:rPr>
      </w:pPr>
    </w:p>
    <w:p>
      <w:pPr>
        <w:jc w:val="both"/>
        <w:ind w:firstLine="692"/>
        <w:spacing w:after="0" w:line="239" w:lineRule="auto"/>
        <w:rPr>
          <w:sz w:val="20"/>
          <w:szCs w:val="20"/>
          <w:color w:val="auto"/>
        </w:rPr>
      </w:pPr>
      <w:r>
        <w:rPr>
          <w:rFonts w:ascii="Times New Roman" w:cs="Times New Roman" w:eastAsia="Times New Roman" w:hAnsi="Times New Roman"/>
          <w:sz w:val="22"/>
          <w:szCs w:val="22"/>
          <w:color w:val="auto"/>
        </w:rPr>
        <w:t>In April 2010, the United Kingdom, passed its own anti-bribery law, the Bribery Act 2010 (the “Bribery Act”). However, the law went further than the FCPA, prohibiting not only bribery of “foreign public officials” but also the bribery of private parties. Further, the Bribery Act, unlike the FCPA, prohibits “passive” bribery or the acceptance of bribes, in addition to “active” bribery, or giving a bribe.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-41-</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803910</wp:posOffset>
            </wp:positionV>
            <wp:extent cx="71831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0"/>
          </w:cols>
          <w:pgMar w:left="900" w:top="1440" w:right="878" w:bottom="1440" w:gutter="0" w:footer="0" w:header="0"/>
        </w:sectPr>
      </w:pPr>
    </w:p>
    <w:bookmarkStart w:id="111" w:name="page112"/>
    <w:bookmarkEnd w:id="111"/>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81972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6">
                      <a:extLst>
                        <a:ext uri="{28A0092B-C50C-407E-A947-70E740481C1C}"/>
                      </a:extLst>
                    </a:blip>
                    <a:srcRect/>
                    <a:stretch>
                      <a:fillRect/>
                    </a:stretch>
                  </pic:blipFill>
                  <pic:spPr bwMode="auto">
                    <a:xfrm>
                      <a:off x="0" y="0"/>
                      <a:ext cx="7162165" cy="8197215"/>
                    </a:xfrm>
                    <a:prstGeom prst="rect">
                      <a:avLst/>
                    </a:prstGeom>
                    <a:noFill/>
                  </pic:spPr>
                </pic:pic>
              </a:graphicData>
            </a:graphic>
          </wp:anchor>
        </w:drawing>
      </w:r>
    </w:p>
    <w:p>
      <w:pPr>
        <w:jc w:val="both"/>
        <w:ind w:firstLine="692"/>
        <w:spacing w:after="0" w:line="236" w:lineRule="auto"/>
        <w:rPr>
          <w:sz w:val="20"/>
          <w:szCs w:val="20"/>
          <w:color w:val="auto"/>
        </w:rPr>
      </w:pPr>
      <w:r>
        <w:rPr>
          <w:rFonts w:ascii="Times New Roman" w:cs="Times New Roman" w:eastAsia="Times New Roman" w:hAnsi="Times New Roman"/>
          <w:sz w:val="22"/>
          <w:szCs w:val="22"/>
          <w:color w:val="auto"/>
        </w:rPr>
        <w:t>The OFS Adviser Anti-Corruption Policy is applicable to all OFS Adviser employees, regardless of their country of citizenship or residency. Although the FCPA and the Bribery Act are the principal anti-bribery statutes applicable to OFS Adviser and its employees worldwide, OFS Adviser and its employees are also subject to the applicable anti-bribery laws of all jurisdictions in which they do business and any jurisdictions involved in OFS Adviser’s cross-border transactions. OFS Adviser employees who are not U.S. or U.K. citizens or residents may also be subject to anti-bribery laws of their countries of citizenship or residency, as applicable.</w:t>
      </w:r>
    </w:p>
    <w:p>
      <w:pPr>
        <w:spacing w:after="0" w:line="73" w:lineRule="exact"/>
        <w:rPr>
          <w:sz w:val="20"/>
          <w:szCs w:val="20"/>
          <w:color w:val="auto"/>
        </w:rPr>
      </w:pPr>
    </w:p>
    <w:p>
      <w:pPr>
        <w:jc w:val="both"/>
        <w:ind w:firstLine="692"/>
        <w:spacing w:after="0" w:line="239" w:lineRule="auto"/>
        <w:rPr>
          <w:sz w:val="20"/>
          <w:szCs w:val="20"/>
          <w:color w:val="auto"/>
        </w:rPr>
      </w:pPr>
      <w:r>
        <w:rPr>
          <w:rFonts w:ascii="Times New Roman" w:cs="Times New Roman" w:eastAsia="Times New Roman" w:hAnsi="Times New Roman"/>
          <w:sz w:val="22"/>
          <w:szCs w:val="22"/>
          <w:color w:val="auto"/>
        </w:rPr>
        <w:t>Prior to transacting business (including merger and acquisition transactions and the retention of certain third parties) outside the U.S. or U.K., you should consult with the CCO or Chief Legal Officer or local counsel to obtain the applicable policies, requirements and procedures pertinent to complying with the applicable anti-bribery laws of such jurisdictions.</w:t>
      </w:r>
    </w:p>
    <w:p>
      <w:pPr>
        <w:spacing w:after="0" w:line="200" w:lineRule="exact"/>
        <w:rPr>
          <w:sz w:val="20"/>
          <w:szCs w:val="20"/>
          <w:color w:val="auto"/>
        </w:rPr>
      </w:pPr>
    </w:p>
    <w:p>
      <w:pPr>
        <w:spacing w:after="0" w:line="327" w:lineRule="exact"/>
        <w:rPr>
          <w:sz w:val="20"/>
          <w:szCs w:val="20"/>
          <w:color w:val="auto"/>
        </w:rPr>
      </w:pPr>
    </w:p>
    <w:p>
      <w:pPr>
        <w:ind w:left="1400" w:hanging="687"/>
        <w:spacing w:after="0"/>
        <w:tabs>
          <w:tab w:leader="none" w:pos="140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INTERACTION WITH PRIVATE SECTOR COUNTERPARTY REPRESENTATIVES</w:t>
      </w:r>
    </w:p>
    <w:p>
      <w:pPr>
        <w:spacing w:after="0" w:line="210" w:lineRule="exact"/>
        <w:rPr>
          <w:sz w:val="20"/>
          <w:szCs w:val="20"/>
          <w:color w:val="auto"/>
        </w:rPr>
      </w:pPr>
    </w:p>
    <w:p>
      <w:pPr>
        <w:jc w:val="both"/>
        <w:ind w:firstLine="692"/>
        <w:spacing w:after="0" w:line="238" w:lineRule="auto"/>
        <w:rPr>
          <w:sz w:val="20"/>
          <w:szCs w:val="20"/>
          <w:color w:val="auto"/>
        </w:rPr>
      </w:pPr>
      <w:r>
        <w:rPr>
          <w:rFonts w:ascii="Times New Roman" w:cs="Times New Roman" w:eastAsia="Times New Roman" w:hAnsi="Times New Roman"/>
          <w:sz w:val="22"/>
          <w:szCs w:val="22"/>
          <w:color w:val="auto"/>
        </w:rPr>
        <w:t>OFS employees should be sensitive to anti-corruption issues in their dealings directly or indirectly, with Private Sector Counterparty Representatives. A Private Sector Counterparty Representative is an owner, employee, or representative of a private entity, such as a partnership or corporation, with which OFS Adviser is conducting or seeking to conduct business. Individuals affiliated with current and prospective clients, joint venture partners and service providers and other third parties in such a capacity are all “Private Sector Counterparty Representatives”.</w:t>
      </w:r>
    </w:p>
    <w:p>
      <w:pPr>
        <w:spacing w:after="0" w:line="69" w:lineRule="exact"/>
        <w:rPr>
          <w:sz w:val="20"/>
          <w:szCs w:val="20"/>
          <w:color w:val="auto"/>
        </w:rPr>
      </w:pPr>
    </w:p>
    <w:p>
      <w:pPr>
        <w:jc w:val="both"/>
        <w:ind w:firstLine="692"/>
        <w:spacing w:after="0" w:line="235" w:lineRule="auto"/>
        <w:rPr>
          <w:sz w:val="20"/>
          <w:szCs w:val="20"/>
          <w:color w:val="auto"/>
        </w:rPr>
      </w:pPr>
      <w:r>
        <w:rPr>
          <w:rFonts w:ascii="Times New Roman" w:cs="Times New Roman" w:eastAsia="Times New Roman" w:hAnsi="Times New Roman"/>
          <w:sz w:val="22"/>
          <w:szCs w:val="22"/>
          <w:color w:val="auto"/>
        </w:rPr>
        <w:t>Bribery concerns may arise in connection with your day-to-day interactions with Private Sector Counterparty Representatives, regarding, for example, the offering of investment opportunities or the solicitation of OFS Adviser business by service providers. It is important to be mindful of the anti- bribery laws and to avoid any action that may give the appearance of bribery in your dealings with such individuals. While you may engage in the exchange of gifts, meals and entertainment with Private Sector Counterparty Representatives in the normal and routine course of business, it is important that you adhere to this Policy and to the Gifts and Entertainment Policy of this Code to avoid running afoul of the anti-corruption laws.</w:t>
      </w:r>
    </w:p>
    <w:p>
      <w:pPr>
        <w:spacing w:after="0" w:line="71" w:lineRule="exact"/>
        <w:rPr>
          <w:sz w:val="20"/>
          <w:szCs w:val="20"/>
          <w:color w:val="auto"/>
        </w:rPr>
      </w:pPr>
    </w:p>
    <w:p>
      <w:pPr>
        <w:ind w:left="1400" w:hanging="687"/>
        <w:spacing w:after="0"/>
        <w:tabs>
          <w:tab w:leader="none" w:pos="140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RETENTION OF CERTAIN THIRD PARTIES</w:t>
      </w:r>
    </w:p>
    <w:p>
      <w:pPr>
        <w:spacing w:after="0" w:line="210" w:lineRule="exact"/>
        <w:rPr>
          <w:sz w:val="20"/>
          <w:szCs w:val="20"/>
          <w:color w:val="auto"/>
        </w:rPr>
      </w:pPr>
    </w:p>
    <w:p>
      <w:pPr>
        <w:jc w:val="both"/>
        <w:ind w:firstLine="692"/>
        <w:spacing w:after="0" w:line="248" w:lineRule="auto"/>
        <w:rPr>
          <w:sz w:val="20"/>
          <w:szCs w:val="20"/>
          <w:color w:val="auto"/>
        </w:rPr>
      </w:pPr>
      <w:r>
        <w:rPr>
          <w:rFonts w:ascii="Times New Roman" w:cs="Times New Roman" w:eastAsia="Times New Roman" w:hAnsi="Times New Roman"/>
          <w:sz w:val="21"/>
          <w:szCs w:val="21"/>
          <w:color w:val="auto"/>
        </w:rPr>
        <w:t>Payments by OFS Adviser to Third Parties raise special concerns under the FCPA, Bribery Act and any other applicable anti-bribery laws. A “Third Party” is defined as any consultant, investor, joint venture partner, local partner, broker, agent or other third party retained or to be retained by OFS Adviser for purposes of dealing with a Public Official or a Private Sector Counterparty Representative on behalf of OFS Adviser or where the contemplated services are likely to involve business-related interactions with a Public Official or Private Sector Counterparty Representative on behalf of OFS Adviser. Because of the risk that a Third Party may seek to secure business for OFS Adviser or its Advisory Clients through violations of the FCPA or Bribery Act and that OFS Adviser or its Advisory</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-42-</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803910</wp:posOffset>
            </wp:positionV>
            <wp:extent cx="71831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0"/>
          </w:cols>
          <w:pgMar w:left="900" w:top="1440" w:right="878" w:bottom="1440" w:gutter="0" w:footer="0" w:header="0"/>
        </w:sectPr>
      </w:pPr>
    </w:p>
    <w:bookmarkStart w:id="112" w:name="page113"/>
    <w:bookmarkEnd w:id="112"/>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6739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8">
                      <a:extLst>
                        <a:ext uri="{28A0092B-C50C-407E-A947-70E740481C1C}"/>
                      </a:extLst>
                    </a:blip>
                    <a:srcRect/>
                    <a:stretch>
                      <a:fillRect/>
                    </a:stretch>
                  </pic:blipFill>
                  <pic:spPr bwMode="auto">
                    <a:xfrm>
                      <a:off x="0" y="0"/>
                      <a:ext cx="7162165" cy="6739890"/>
                    </a:xfrm>
                    <a:prstGeom prst="rect">
                      <a:avLst/>
                    </a:prstGeom>
                    <a:noFill/>
                  </pic:spPr>
                </pic:pic>
              </a:graphicData>
            </a:graphic>
          </wp:anchor>
        </w:drawing>
      </w:r>
    </w:p>
    <w:p>
      <w:pPr>
        <w:jc w:val="both"/>
        <w:spacing w:after="0" w:line="244" w:lineRule="auto"/>
        <w:rPr>
          <w:sz w:val="20"/>
          <w:szCs w:val="20"/>
          <w:color w:val="auto"/>
        </w:rPr>
      </w:pPr>
      <w:r>
        <w:rPr>
          <w:rFonts w:ascii="Times New Roman" w:cs="Times New Roman" w:eastAsia="Times New Roman" w:hAnsi="Times New Roman"/>
          <w:sz w:val="22"/>
          <w:szCs w:val="22"/>
          <w:color w:val="auto"/>
        </w:rPr>
        <w:t>Client’s Portfolio Companies may be subject to liability under the FCPA or Bribery Act as a result, any agreement with a Third Party that is engaged to do business with OFS Adviser is subject to specific due diligence and contractual requirements to assure compliance with the Firm’s Anti-Corruption Policy.</w:t>
      </w:r>
    </w:p>
    <w:p>
      <w:pPr>
        <w:spacing w:after="0" w:line="200" w:lineRule="exact"/>
        <w:rPr>
          <w:sz w:val="20"/>
          <w:szCs w:val="20"/>
          <w:color w:val="auto"/>
        </w:rPr>
      </w:pPr>
    </w:p>
    <w:p>
      <w:pPr>
        <w:spacing w:after="0" w:line="347" w:lineRule="exact"/>
        <w:rPr>
          <w:sz w:val="20"/>
          <w:szCs w:val="20"/>
          <w:color w:val="auto"/>
        </w:rPr>
      </w:pPr>
    </w:p>
    <w:p>
      <w:pPr>
        <w:ind w:left="1400" w:right="3240" w:hanging="687"/>
        <w:spacing w:after="0" w:line="262" w:lineRule="auto"/>
        <w:tabs>
          <w:tab w:leader="none" w:pos="140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PRE-APPROVAL, REPORTING, DUE DILIGENCE AND CONTRACTUALREQUIREMENTS</w:t>
      </w:r>
    </w:p>
    <w:p>
      <w:pPr>
        <w:spacing w:after="0" w:line="154" w:lineRule="exact"/>
        <w:rPr>
          <w:sz w:val="20"/>
          <w:szCs w:val="20"/>
          <w:color w:val="auto"/>
        </w:rPr>
      </w:pPr>
    </w:p>
    <w:p>
      <w:pPr>
        <w:ind w:firstLine="692"/>
        <w:spacing w:after="0" w:line="258" w:lineRule="auto"/>
        <w:rPr>
          <w:sz w:val="20"/>
          <w:szCs w:val="20"/>
          <w:color w:val="auto"/>
        </w:rPr>
      </w:pPr>
      <w:r>
        <w:rPr>
          <w:rFonts w:ascii="Times New Roman" w:cs="Times New Roman" w:eastAsia="Times New Roman" w:hAnsi="Times New Roman"/>
          <w:sz w:val="22"/>
          <w:szCs w:val="22"/>
          <w:color w:val="auto"/>
        </w:rPr>
        <w:t>Unless otherwise authorized by the CCO or a Compliance Officer, you are required to adhere to the following policies and procedures, designed to facilitate your compliance with applicable anti- bribery laws.</w:t>
      </w:r>
    </w:p>
    <w:p>
      <w:pPr>
        <w:spacing w:after="0" w:line="50" w:lineRule="exact"/>
        <w:rPr>
          <w:sz w:val="20"/>
          <w:szCs w:val="20"/>
          <w:color w:val="auto"/>
        </w:rPr>
      </w:pPr>
    </w:p>
    <w:p>
      <w:pPr>
        <w:ind w:right="420" w:firstLine="692"/>
        <w:spacing w:after="0" w:line="258" w:lineRule="auto"/>
        <w:rPr>
          <w:sz w:val="20"/>
          <w:szCs w:val="20"/>
          <w:color w:val="auto"/>
        </w:rPr>
      </w:pPr>
      <w:r>
        <w:rPr>
          <w:rFonts w:ascii="Times New Roman" w:cs="Times New Roman" w:eastAsia="Times New Roman" w:hAnsi="Times New Roman"/>
          <w:sz w:val="22"/>
          <w:szCs w:val="22"/>
          <w:color w:val="auto"/>
        </w:rPr>
        <w:t>You must submit a preclearance request and obtain pre-approval for the following types of expenses and contributions:</w:t>
      </w:r>
    </w:p>
    <w:p>
      <w:pPr>
        <w:spacing w:after="0" w:line="50" w:lineRule="exact"/>
        <w:rPr>
          <w:sz w:val="20"/>
          <w:szCs w:val="20"/>
          <w:color w:val="auto"/>
        </w:rPr>
      </w:pPr>
    </w:p>
    <w:p>
      <w:pPr>
        <w:ind w:left="1560" w:right="260" w:hanging="433"/>
        <w:spacing w:after="0" w:line="238" w:lineRule="auto"/>
        <w:tabs>
          <w:tab w:leader="none" w:pos="15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Gifts and entertainment, including food and beverages, travel, or lodging or anything of value provided to a Public Official or a person known to be an immediate family member or guest of a Public Official;</w:t>
      </w:r>
    </w:p>
    <w:p>
      <w:pPr>
        <w:ind w:left="1560" w:hanging="433"/>
        <w:spacing w:after="0" w:line="230" w:lineRule="auto"/>
        <w:tabs>
          <w:tab w:leader="none" w:pos="15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Charitable contributions made on behalf of OFS Adviser and/or its affiliated operating entities</w:t>
      </w:r>
    </w:p>
    <w:p>
      <w:pPr>
        <w:ind w:left="1560" w:right="60" w:hanging="433"/>
        <w:spacing w:after="0" w:line="230" w:lineRule="auto"/>
        <w:tabs>
          <w:tab w:leader="none" w:pos="15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Charitable contributions made in an individual capacity or on behalf of OFS Adviser at the request of or for the benefit of a Public Official; and</w:t>
      </w:r>
    </w:p>
    <w:p>
      <w:pPr>
        <w:spacing w:after="0" w:line="1" w:lineRule="exact"/>
        <w:rPr>
          <w:rFonts w:ascii="Times New Roman" w:cs="Times New Roman" w:eastAsia="Times New Roman" w:hAnsi="Times New Roman"/>
          <w:sz w:val="22"/>
          <w:szCs w:val="22"/>
          <w:color w:val="auto"/>
        </w:rPr>
      </w:pPr>
    </w:p>
    <w:p>
      <w:pPr>
        <w:ind w:left="1560" w:hanging="433"/>
        <w:spacing w:after="0"/>
        <w:tabs>
          <w:tab w:leader="none" w:pos="15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political contributions.</w:t>
      </w:r>
    </w:p>
    <w:p>
      <w:pPr>
        <w:spacing w:after="0" w:line="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Preclearance requests should be submitted via the Firm’s compliance portal.</w:t>
      </w:r>
    </w:p>
    <w:p>
      <w:pPr>
        <w:spacing w:after="0" w:line="94" w:lineRule="exact"/>
        <w:rPr>
          <w:sz w:val="20"/>
          <w:szCs w:val="20"/>
          <w:color w:val="auto"/>
        </w:rPr>
      </w:pPr>
    </w:p>
    <w:p>
      <w:pPr>
        <w:ind w:left="1400" w:hanging="687"/>
        <w:spacing w:after="0"/>
        <w:tabs>
          <w:tab w:leader="none" w:pos="140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REPORTING OBLIGATIONS</w:t>
      </w:r>
    </w:p>
    <w:p>
      <w:pPr>
        <w:spacing w:after="0" w:line="210" w:lineRule="exact"/>
        <w:rPr>
          <w:sz w:val="20"/>
          <w:szCs w:val="20"/>
          <w:color w:val="auto"/>
        </w:rPr>
      </w:pPr>
    </w:p>
    <w:p>
      <w:pPr>
        <w:ind w:right="400" w:firstLine="692"/>
        <w:spacing w:after="0" w:line="244" w:lineRule="auto"/>
        <w:rPr>
          <w:sz w:val="20"/>
          <w:szCs w:val="20"/>
          <w:color w:val="auto"/>
        </w:rPr>
      </w:pPr>
      <w:r>
        <w:rPr>
          <w:rFonts w:ascii="Times New Roman" w:cs="Times New Roman" w:eastAsia="Times New Roman" w:hAnsi="Times New Roman"/>
          <w:sz w:val="22"/>
          <w:szCs w:val="22"/>
          <w:color w:val="auto"/>
        </w:rPr>
        <w:t>On a quarterly basis, you must certify to all previously approved and/or disclosed political contributions, charitable contributions, items to Public Officials and all gifts and entertainment received, as specified above. Certification must be made via the Firm’s compliance portal.</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-43-</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803910</wp:posOffset>
            </wp:positionV>
            <wp:extent cx="71831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0"/>
          </w:cols>
          <w:pgMar w:left="900" w:top="1440" w:right="878" w:bottom="1440" w:gutter="0" w:footer="0" w:header="0"/>
        </w:sectPr>
      </w:pPr>
    </w:p>
    <w:bookmarkStart w:id="113" w:name="page114"/>
    <w:bookmarkEnd w:id="113"/>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392811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0">
                      <a:extLst>
                        <a:ext uri="{28A0092B-C50C-407E-A947-70E740481C1C}"/>
                      </a:extLst>
                    </a:blip>
                    <a:srcRect/>
                    <a:stretch>
                      <a:fillRect/>
                    </a:stretch>
                  </pic:blipFill>
                  <pic:spPr bwMode="auto">
                    <a:xfrm>
                      <a:off x="0" y="0"/>
                      <a:ext cx="7162165" cy="3928110"/>
                    </a:xfrm>
                    <a:prstGeom prst="rect">
                      <a:avLst/>
                    </a:prstGeom>
                    <a:noFill/>
                  </pic:spPr>
                </pic:pic>
              </a:graphicData>
            </a:graphic>
          </wp:anchor>
        </w:drawing>
      </w:r>
    </w:p>
    <w:p>
      <w:pPr>
        <w:ind w:left="2520"/>
        <w:spacing w:after="0"/>
        <w:tabs>
          <w:tab w:leader="none" w:pos="318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2"/>
          <w:szCs w:val="22"/>
          <w:b w:val="1"/>
          <w:bCs w:val="1"/>
          <w:u w:val="single" w:color="auto"/>
          <w:color w:val="auto"/>
        </w:rPr>
        <w:t>ACCEPTABLE USE POLICY</w:t>
      </w:r>
    </w:p>
    <w:p>
      <w:pPr>
        <w:spacing w:after="0" w:line="200" w:lineRule="exact"/>
        <w:rPr>
          <w:sz w:val="20"/>
          <w:szCs w:val="20"/>
          <w:color w:val="auto"/>
        </w:rPr>
      </w:pPr>
    </w:p>
    <w:p>
      <w:pPr>
        <w:spacing w:after="0" w:line="361" w:lineRule="exact"/>
        <w:rPr>
          <w:sz w:val="20"/>
          <w:szCs w:val="20"/>
          <w:color w:val="auto"/>
        </w:rPr>
      </w:pPr>
    </w:p>
    <w:p>
      <w:pPr>
        <w:jc w:val="both"/>
        <w:ind w:firstLine="692"/>
        <w:spacing w:after="0" w:line="238" w:lineRule="auto"/>
        <w:rPr>
          <w:sz w:val="20"/>
          <w:szCs w:val="20"/>
          <w:color w:val="auto"/>
        </w:rPr>
      </w:pPr>
      <w:r>
        <w:rPr>
          <w:rFonts w:ascii="Times New Roman" w:cs="Times New Roman" w:eastAsia="Times New Roman" w:hAnsi="Times New Roman"/>
          <w:sz w:val="22"/>
          <w:szCs w:val="22"/>
          <w:color w:val="auto"/>
        </w:rPr>
        <w:t>OFS’ Acceptable Use Policy is hereby incorporated into this Code by reference. Supervised Persons are required to fully comply with all policies, procedures and certification and training requirements associated with the OFS Acceptable Use Policy, and any instance of non-compliance will likely constitute a violation of this Code. The Acceptable Use Policy is available to all Supervised Persons on the Firm’s public network drive and compliance portal.</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-44-</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803910</wp:posOffset>
            </wp:positionV>
            <wp:extent cx="71831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0"/>
          </w:cols>
          <w:pgMar w:left="900" w:top="1440" w:right="878" w:bottom="1440" w:gutter="0" w:footer="0" w:header="0"/>
        </w:sectPr>
      </w:pPr>
    </w:p>
    <w:bookmarkStart w:id="114" w:name="page115"/>
    <w:bookmarkEnd w:id="114"/>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85725</wp:posOffset>
            </wp:positionV>
            <wp:extent cx="7162165" cy="598551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2">
                      <a:extLst>
                        <a:ext uri="{28A0092B-C50C-407E-A947-70E740481C1C}"/>
                      </a:extLst>
                    </a:blip>
                    <a:srcRect/>
                    <a:stretch>
                      <a:fillRect/>
                    </a:stretch>
                  </pic:blipFill>
                  <pic:spPr bwMode="auto">
                    <a:xfrm>
                      <a:off x="0" y="0"/>
                      <a:ext cx="7162165" cy="5985510"/>
                    </a:xfrm>
                    <a:prstGeom prst="rect">
                      <a:avLst/>
                    </a:prstGeom>
                    <a:noFill/>
                  </pic:spPr>
                </pic:pic>
              </a:graphicData>
            </a:graphic>
          </wp:anchor>
        </w:drawing>
      </w:r>
    </w:p>
    <w:p>
      <w:pPr>
        <w:jc w:val="center"/>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VIII.</w:t>
      </w:r>
      <w:r>
        <w:rPr>
          <w:sz w:val="20"/>
          <w:szCs w:val="20"/>
          <w:color w:val="auto"/>
        </w:rPr>
        <w:tab/>
      </w:r>
      <w:r>
        <w:rPr>
          <w:rFonts w:ascii="Times New Roman" w:cs="Times New Roman" w:eastAsia="Times New Roman" w:hAnsi="Times New Roman"/>
          <w:sz w:val="21"/>
          <w:szCs w:val="21"/>
          <w:b w:val="1"/>
          <w:bCs w:val="1"/>
          <w:u w:val="single" w:color="auto"/>
          <w:color w:val="auto"/>
        </w:rPr>
        <w:t>PERSONAL USE OF FIRM RESOURCES AND RELATIONSHIP POLICY</w:t>
      </w:r>
    </w:p>
    <w:p>
      <w:pPr>
        <w:spacing w:after="0" w:line="200" w:lineRule="exact"/>
        <w:rPr>
          <w:sz w:val="20"/>
          <w:szCs w:val="20"/>
          <w:color w:val="auto"/>
        </w:rPr>
      </w:pPr>
    </w:p>
    <w:p>
      <w:pPr>
        <w:spacing w:after="0" w:line="361" w:lineRule="exact"/>
        <w:rPr>
          <w:sz w:val="20"/>
          <w:szCs w:val="20"/>
          <w:color w:val="auto"/>
        </w:rPr>
      </w:pPr>
    </w:p>
    <w:p>
      <w:pPr>
        <w:ind w:firstLine="692"/>
        <w:spacing w:after="0" w:line="235" w:lineRule="auto"/>
        <w:rPr>
          <w:sz w:val="20"/>
          <w:szCs w:val="20"/>
          <w:color w:val="auto"/>
        </w:rPr>
      </w:pPr>
      <w:r>
        <w:rPr>
          <w:rFonts w:ascii="Times New Roman" w:cs="Times New Roman" w:eastAsia="Times New Roman" w:hAnsi="Times New Roman"/>
          <w:sz w:val="22"/>
          <w:szCs w:val="22"/>
          <w:color w:val="auto"/>
        </w:rPr>
        <w:t>OFS email and other OFS-sponsored communication mediums (e.g., Skype for Business) (collectively, “OFS communication platforms”) should generally only be used for conducting OFS business. While occasional use of OFS email for personal communications is permissible, Supervised Persons are prohibited from using OFS communication platforms to conduct personal outside business activities (including those involving political, civic or charitable solicitations), which may imply OFS’s sponsorship or endorsement of such activities. Use of OFS stationary for personal correspondence or other personal purposes is strictly prohibited. All communications made via OFS communication platforms are the property of OFS and use of such platforms must comply with the OFS Computer Acceptable Use Policy.</w:t>
      </w:r>
    </w:p>
    <w:p>
      <w:pPr>
        <w:spacing w:after="0" w:line="70" w:lineRule="exact"/>
        <w:rPr>
          <w:sz w:val="20"/>
          <w:szCs w:val="20"/>
          <w:color w:val="auto"/>
        </w:rPr>
      </w:pPr>
    </w:p>
    <w:p>
      <w:pPr>
        <w:ind w:right="160" w:firstLine="692"/>
        <w:spacing w:after="0" w:line="244" w:lineRule="auto"/>
        <w:rPr>
          <w:sz w:val="20"/>
          <w:szCs w:val="20"/>
          <w:color w:val="auto"/>
        </w:rPr>
      </w:pPr>
      <w:r>
        <w:rPr>
          <w:rFonts w:ascii="Times New Roman" w:cs="Times New Roman" w:eastAsia="Times New Roman" w:hAnsi="Times New Roman"/>
          <w:sz w:val="22"/>
          <w:szCs w:val="22"/>
          <w:color w:val="auto"/>
        </w:rPr>
        <w:t>Absent an exemption granted by Human Resources or Compliance, Supervised Persons are prohibited from assigning tasks associated with personal business activities to staff or soliciting assistance for such personal endeavors from staff in a junior role to the requestor.</w:t>
      </w:r>
    </w:p>
    <w:p>
      <w:pPr>
        <w:spacing w:after="0" w:line="65" w:lineRule="exact"/>
        <w:rPr>
          <w:sz w:val="20"/>
          <w:szCs w:val="20"/>
          <w:color w:val="auto"/>
        </w:rPr>
      </w:pPr>
    </w:p>
    <w:p>
      <w:pPr>
        <w:ind w:right="460" w:firstLine="692"/>
        <w:spacing w:after="0" w:line="239" w:lineRule="auto"/>
        <w:rPr>
          <w:sz w:val="20"/>
          <w:szCs w:val="20"/>
          <w:color w:val="auto"/>
        </w:rPr>
      </w:pPr>
      <w:r>
        <w:rPr>
          <w:rFonts w:ascii="Times New Roman" w:cs="Times New Roman" w:eastAsia="Times New Roman" w:hAnsi="Times New Roman"/>
          <w:sz w:val="22"/>
          <w:szCs w:val="22"/>
          <w:color w:val="auto"/>
        </w:rPr>
        <w:t>Further, Supervised Persons are prohibited from leveraging relationships with OFS clients, vendors, and other business contacts (“OFS Contacts”) gained over the course of their employment for personal purposes. Personal purposes include, but are not limited to, charitable and political activities, including solicitation of donations, and the conduct of personal business activities.</w:t>
      </w:r>
    </w:p>
    <w:p>
      <w:pPr>
        <w:spacing w:after="0" w:line="72" w:lineRule="exact"/>
        <w:rPr>
          <w:sz w:val="20"/>
          <w:szCs w:val="20"/>
          <w:color w:val="auto"/>
        </w:rPr>
      </w:pPr>
    </w:p>
    <w:p>
      <w:pPr>
        <w:ind w:firstLine="692"/>
        <w:spacing w:after="0" w:line="258" w:lineRule="auto"/>
        <w:rPr>
          <w:sz w:val="20"/>
          <w:szCs w:val="20"/>
          <w:color w:val="auto"/>
        </w:rPr>
      </w:pPr>
      <w:r>
        <w:rPr>
          <w:rFonts w:ascii="Times New Roman" w:cs="Times New Roman" w:eastAsia="Times New Roman" w:hAnsi="Times New Roman"/>
          <w:sz w:val="22"/>
          <w:szCs w:val="22"/>
          <w:color w:val="auto"/>
        </w:rPr>
        <w:t>OFS reserves the right to search and monitor the computer files of and OFS communication platforms used by any Supervised Persons, without advance notice, for purposes of monitoring compliance with this policy.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-45-</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803910</wp:posOffset>
            </wp:positionV>
            <wp:extent cx="71831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40"/>
          </w:cols>
          <w:pgMar w:left="900" w:top="1440" w:right="878"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3220085</wp:posOffset>
            </wp:positionH>
            <wp:positionV relativeFrom="page">
              <wp:posOffset>1045845</wp:posOffset>
            </wp:positionV>
            <wp:extent cx="1148715" cy="5232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4">
                      <a:clrChange>
                        <a:clrFrom>
                          <a:srgbClr val="FFFFFF"/>
                        </a:clrFrom>
                        <a:clrTo>
                          <a:srgbClr val="FFFFFF">
                            <a:alpha val="0"/>
                          </a:srgbClr>
                        </a:clrTo>
                      </a:clrChange>
                      <a:extLst>
                        <a:ext uri="{28A0092B-C50C-407E-A947-70E740481C1C}"/>
                      </a:extLst>
                    </a:blip>
                    <a:srcRect/>
                    <a:stretch>
                      <a:fillRect/>
                    </a:stretch>
                  </pic:blipFill>
                  <pic:spPr bwMode="auto">
                    <a:xfrm>
                      <a:off x="0" y="0"/>
                      <a:ext cx="114871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ATTACHMENTS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0"/>
        <w:spacing w:after="0"/>
        <w:tabs>
          <w:tab w:leader="none" w:pos="9940" w:val="left"/>
        </w:tabs>
        <w:rPr>
          <w:sz w:val="20"/>
          <w:szCs w:val="20"/>
          <w:color w:val="auto"/>
        </w:rPr>
      </w:pPr>
      <w:r>
        <w:rPr>
          <w:rFonts w:ascii="Times New Roman" w:cs="Times New Roman" w:eastAsia="Times New Roman" w:hAnsi="Times New Roman"/>
          <w:sz w:val="22"/>
          <w:szCs w:val="22"/>
          <w:b w:val="1"/>
          <w:bCs w:val="1"/>
          <w:color w:val="auto"/>
        </w:rPr>
        <w:t>Whistleblower Information</w:t>
      </w:r>
      <w:r>
        <w:rPr>
          <w:sz w:val="20"/>
          <w:szCs w:val="20"/>
          <w:color w:val="auto"/>
        </w:rPr>
        <w:tab/>
      </w:r>
      <w:r>
        <w:rPr>
          <w:rFonts w:ascii="Times New Roman" w:cs="Times New Roman" w:eastAsia="Times New Roman" w:hAnsi="Times New Roman"/>
          <w:sz w:val="21"/>
          <w:szCs w:val="21"/>
          <w:b w:val="1"/>
          <w:bCs w:val="1"/>
          <w:color w:val="auto"/>
        </w:rPr>
        <w:t>Attachment A</w:t>
      </w:r>
    </w:p>
    <w:p>
      <w:pPr>
        <w:spacing w:after="0" w:line="200" w:lineRule="exact"/>
        <w:rPr>
          <w:sz w:val="20"/>
          <w:szCs w:val="20"/>
          <w:color w:val="auto"/>
        </w:rPr>
      </w:pPr>
    </w:p>
    <w:p>
      <w:pPr>
        <w:spacing w:after="0" w:line="226"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The listed attachment is also available on OFS Adviser’s public network drive and compliance portal, or from the Compliance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1151255</wp:posOffset>
            </wp:positionV>
            <wp:extent cx="71831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sectPr>
      </w:pPr>
    </w:p>
    <w:bookmarkStart w:id="116" w:name="page117"/>
    <w:bookmarkEnd w:id="116"/>
    <w:p>
      <w:pPr>
        <w:spacing w:after="0" w:line="230"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22"/>
          <w:szCs w:val="22"/>
          <w:b w:val="1"/>
          <w:bCs w:val="1"/>
          <w:color w:val="auto"/>
        </w:rPr>
        <w:t>ATTACHMENT A</w:t>
      </w:r>
    </w:p>
    <w:p>
      <w:pPr>
        <w:spacing w:after="0" w:line="200" w:lineRule="exact"/>
        <w:rPr>
          <w:sz w:val="20"/>
          <w:szCs w:val="20"/>
          <w:color w:val="auto"/>
        </w:rPr>
      </w:pPr>
    </w:p>
    <w:p>
      <w:pPr>
        <w:spacing w:after="0" w:line="20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u w:val="single" w:color="auto"/>
          <w:color w:val="auto"/>
        </w:rPr>
        <w:t>Whistleblower Hotline Information</w:t>
      </w:r>
    </w:p>
    <w:p>
      <w:pPr>
        <w:spacing w:after="0" w:line="39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Effective whistleblowing mechanisms to mitigate bribery and corruption issues are a key feature in our commitment to a high level of integrity and ethics. As part of our Whistleblower Policy, we have established a third-party confidential hotline, Report It. This hotline enables you and external parties, including our suppliers and vendors, to confidentially, and anonymously if preferred, report (i) any questionable accounting, internal accounting controls or auditing matters; (ii) non-compliance with applicable legal or regulatory requirements or this Code or any suspected violation(s) of our various codes of conduct; (iii) any activity that may adversely affect the Firm’s business or reputation; (iv) any ESG-related concerns or violations; (v) retaliation against employees and other persons who make-in good faith, allegations of (a) questionable accounting, internal accounting controls or auditing matters or (b) non-compliance with applicable legal or regulatory requirements or this Code.</w:t>
      </w:r>
    </w:p>
    <w:p>
      <w:pPr>
        <w:spacing w:after="0" w:line="7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Although we encourage you to report any concerns or problems you may have to your supervisor, there may be times where you may not feel comfortable voicing these concerns or problems to them. If you desire or need to report a violation or misconduct, you can do so by either calling the Report It hotline or by logging into their website. The OFS Report It username and password information is listed below.</w:t>
      </w:r>
    </w:p>
    <w:p>
      <w:pPr>
        <w:spacing w:after="0" w:line="284" w:lineRule="exact"/>
        <w:rPr>
          <w:sz w:val="20"/>
          <w:szCs w:val="20"/>
          <w:color w:val="auto"/>
        </w:rPr>
      </w:pPr>
    </w:p>
    <w:p>
      <w:pPr>
        <w:ind w:left="2140" w:hanging="659"/>
        <w:spacing w:after="0"/>
        <w:tabs>
          <w:tab w:leader="none" w:pos="2140" w:val="left"/>
        </w:tabs>
        <w:numPr>
          <w:ilvl w:val="1"/>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Username: OFS Management</w:t>
      </w:r>
    </w:p>
    <w:p>
      <w:pPr>
        <w:spacing w:after="0" w:line="18" w:lineRule="exact"/>
        <w:rPr>
          <w:rFonts w:ascii="Times New Roman" w:cs="Times New Roman" w:eastAsia="Times New Roman" w:hAnsi="Times New Roman"/>
          <w:sz w:val="22"/>
          <w:szCs w:val="22"/>
          <w:b w:val="1"/>
          <w:bCs w:val="1"/>
          <w:color w:val="auto"/>
        </w:rPr>
      </w:pPr>
    </w:p>
    <w:p>
      <w:pPr>
        <w:ind w:left="2160" w:hanging="664"/>
        <w:spacing w:after="0"/>
        <w:tabs>
          <w:tab w:leader="none" w:pos="2160" w:val="left"/>
        </w:tabs>
        <w:numPr>
          <w:ilvl w:val="2"/>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Password: OFS Management</w:t>
      </w:r>
    </w:p>
    <w:p>
      <w:pPr>
        <w:spacing w:after="0" w:line="249" w:lineRule="exact"/>
        <w:rPr>
          <w:rFonts w:ascii="Times New Roman" w:cs="Times New Roman" w:eastAsia="Times New Roman" w:hAnsi="Times New Roman"/>
          <w:sz w:val="22"/>
          <w:szCs w:val="22"/>
          <w:b w:val="1"/>
          <w:bCs w:val="1"/>
          <w:color w:val="auto"/>
        </w:rPr>
      </w:pPr>
    </w:p>
    <w:p>
      <w:pPr>
        <w:ind w:left="1500" w:hanging="755"/>
        <w:spacing w:after="0"/>
        <w:tabs>
          <w:tab w:leader="none" w:pos="15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Toll free hotline number: 1-877-778-5463 (1-877-RPT-LINE)</w:t>
      </w:r>
    </w:p>
    <w:p>
      <w:pPr>
        <w:spacing w:after="0" w:line="30" w:lineRule="exact"/>
        <w:rPr>
          <w:rFonts w:ascii="Times New Roman" w:cs="Times New Roman" w:eastAsia="Times New Roman" w:hAnsi="Times New Roman"/>
          <w:sz w:val="22"/>
          <w:szCs w:val="22"/>
          <w:color w:val="auto"/>
        </w:rPr>
      </w:pPr>
    </w:p>
    <w:p>
      <w:pPr>
        <w:ind w:left="1500" w:hanging="755"/>
        <w:spacing w:after="0"/>
        <w:tabs>
          <w:tab w:leader="none" w:pos="15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Website address: www.reportit.net</w:t>
      </w:r>
    </w:p>
    <w:p>
      <w:pPr>
        <w:spacing w:after="0" w:line="29" w:lineRule="exact"/>
        <w:rPr>
          <w:rFonts w:ascii="Times New Roman" w:cs="Times New Roman" w:eastAsia="Times New Roman" w:hAnsi="Times New Roman"/>
          <w:sz w:val="22"/>
          <w:szCs w:val="22"/>
          <w:color w:val="auto"/>
        </w:rPr>
      </w:pPr>
    </w:p>
    <w:p>
      <w:pPr>
        <w:ind w:left="2240" w:hanging="743"/>
        <w:spacing w:after="0"/>
        <w:tabs>
          <w:tab w:leader="none" w:pos="2240" w:val="left"/>
        </w:tabs>
        <w:numPr>
          <w:ilvl w:val="3"/>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Click on the Report It Online link</w:t>
      </w:r>
    </w:p>
    <w:p>
      <w:pPr>
        <w:spacing w:after="0" w:line="18" w:lineRule="exact"/>
        <w:rPr>
          <w:rFonts w:ascii="Times New Roman" w:cs="Times New Roman" w:eastAsia="Times New Roman" w:hAnsi="Times New Roman"/>
          <w:sz w:val="22"/>
          <w:szCs w:val="22"/>
          <w:color w:val="auto"/>
        </w:rPr>
      </w:pPr>
    </w:p>
    <w:p>
      <w:pPr>
        <w:ind w:left="2240" w:hanging="743"/>
        <w:spacing w:after="0"/>
        <w:tabs>
          <w:tab w:leader="none" w:pos="2240" w:val="left"/>
        </w:tabs>
        <w:numPr>
          <w:ilvl w:val="3"/>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Click on the Report It Now button</w:t>
      </w:r>
    </w:p>
    <w:p>
      <w:pPr>
        <w:spacing w:after="0" w:line="30" w:lineRule="exact"/>
        <w:rPr>
          <w:rFonts w:ascii="Times New Roman" w:cs="Times New Roman" w:eastAsia="Times New Roman" w:hAnsi="Times New Roman"/>
          <w:sz w:val="22"/>
          <w:szCs w:val="22"/>
          <w:color w:val="auto"/>
        </w:rPr>
      </w:pPr>
    </w:p>
    <w:p>
      <w:pPr>
        <w:ind w:left="2240" w:hanging="743"/>
        <w:spacing w:after="0"/>
        <w:tabs>
          <w:tab w:leader="none" w:pos="2240" w:val="left"/>
        </w:tabs>
        <w:numPr>
          <w:ilvl w:val="3"/>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the Username/Password under the “Create Report” column</w:t>
      </w:r>
    </w:p>
    <w:p>
      <w:pPr>
        <w:spacing w:after="0" w:line="29" w:lineRule="exact"/>
        <w:rPr>
          <w:rFonts w:ascii="Times New Roman" w:cs="Times New Roman" w:eastAsia="Times New Roman" w:hAnsi="Times New Roman"/>
          <w:sz w:val="22"/>
          <w:szCs w:val="22"/>
          <w:color w:val="auto"/>
        </w:rPr>
      </w:pPr>
    </w:p>
    <w:p>
      <w:pPr>
        <w:ind w:left="2240" w:hanging="743"/>
        <w:spacing w:after="0"/>
        <w:tabs>
          <w:tab w:leader="none" w:pos="2240" w:val="left"/>
        </w:tabs>
        <w:numPr>
          <w:ilvl w:val="3"/>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Click on the Report It Now button</w:t>
      </w:r>
    </w:p>
    <w:p>
      <w:pPr>
        <w:spacing w:after="0" w:line="36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You will be able to anonymously file a wide variety of reports from questionable accounting or auditing matters or issues with the Code of Ethics through either the website or the toll- free hotline number. Any report that you submit will be handled anonymously by Report It, and your name will not be provided by Report It to any OFS contact should you so choose to remain anonymous. We hope that by implementing this hotline service, you will be able to keep our organization free from fraudulent and unethical accounting/auditing activity while achieving our goal to maintain and conduct our business at the utmost level of professional standards and best practices.</w:t>
      </w:r>
    </w:p>
    <w:p>
      <w:pPr>
        <w:spacing w:after="0" w:line="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reports should be factual rather than speculative or conclusory and should contain as much specific information as possible to allow for proper assessment. In addition, all reports should contain sufficient corroborating information to support the commencement of an investigation, including, for example, the names of individuals suspected of violations, the relevant facts of the violations, how the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993775</wp:posOffset>
            </wp:positionV>
            <wp:extent cx="71831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900"/>
          </w:cols>
          <w:pgMar w:left="700" w:top="1440" w:right="318" w:bottom="1440" w:gutter="0" w:footer="0" w:header="0"/>
        </w:sectPr>
      </w:pPr>
    </w:p>
    <w:bookmarkStart w:id="117" w:name="page118"/>
    <w:bookmarkEnd w:id="117"/>
    <w:p>
      <w:pPr>
        <w:spacing w:after="0" w:line="2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became aware of the violations, any steps previously taken by the person, who may be harmed or affected by the violations and, to the extent possible, an estimate of the misreporting or losses as a result of the violations.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Retaliation</w:t>
      </w:r>
    </w:p>
    <w:p>
      <w:pPr>
        <w:spacing w:after="0" w:line="1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OFS will not retaliate, or allow retaliation, toward anyone who reports an actual or suspected violation by any means, including with a government or regulatory authority. Complaints of retaliation will be investigated promptly, and those who are found to have retaliated because of the report of an actual or suspected violation will be subject to appropriate disciplinary action, up to and including termination. None of the Firm’s policies should be interpreted as preventing you from reporting an actual or suspected violation by any means, including to a government, regulatory authority, or law enforcement agency. However, notwithstanding the above, in disclosing information to a government, regulatory authority, or law enforcement agency, you are not permitted to disclose any attorney-client communication and/or trade secret information of the Firm unless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3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967105</wp:posOffset>
            </wp:positionV>
            <wp:extent cx="71831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900"/>
          </w:cols>
          <w:pgMar w:left="700" w:top="1440" w:right="318" w:bottom="1440" w:gutter="0" w:footer="0" w:header="0"/>
        </w:sectPr>
      </w:pPr>
    </w:p>
    <w:bookmarkStart w:id="118" w:name="page119"/>
    <w:bookmarkEnd w:id="118"/>
    <w:p>
      <w:pPr>
        <w:spacing w:after="0" w:line="3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ATTACHMENT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7720" cy="3175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8">
                      <a:extLst>
                        <a:ext uri="{28A0092B-C50C-407E-A947-70E740481C1C}"/>
                      </a:extLst>
                    </a:blip>
                    <a:srcRect/>
                    <a:stretch>
                      <a:fillRect/>
                    </a:stretch>
                  </pic:blipFill>
                  <pic:spPr bwMode="auto">
                    <a:xfrm>
                      <a:off x="0" y="0"/>
                      <a:ext cx="7157720" cy="317500"/>
                    </a:xfrm>
                    <a:prstGeom prst="rect">
                      <a:avLst/>
                    </a:prstGeom>
                    <a:noFill/>
                  </pic:spPr>
                </pic:pic>
              </a:graphicData>
            </a:graphic>
          </wp:anchor>
        </w:drawing>
      </w:r>
    </w:p>
    <w:p>
      <w:pPr>
        <w:spacing w:after="0" w:line="358" w:lineRule="exact"/>
        <w:rPr>
          <w:sz w:val="20"/>
          <w:szCs w:val="20"/>
          <w:color w:val="auto"/>
        </w:rPr>
      </w:pPr>
    </w:p>
    <w:p>
      <w:pPr>
        <w:ind w:left="7"/>
        <w:spacing w:after="0"/>
        <w:rPr>
          <w:sz w:val="20"/>
          <w:szCs w:val="20"/>
          <w:color w:val="auto"/>
        </w:rPr>
      </w:pPr>
      <w:r>
        <w:rPr>
          <w:rFonts w:ascii="Arial" w:cs="Arial" w:eastAsia="Arial" w:hAnsi="Arial"/>
          <w:sz w:val="25"/>
          <w:szCs w:val="25"/>
          <w:b w:val="1"/>
          <w:bCs w:val="1"/>
          <w:color w:val="auto"/>
        </w:rPr>
        <w:t>Automated Investment Plan (AIP) Preclearance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7" w:type="dxa"/>
        <w:tblCellMar>
          <w:top w:w="0" w:type="dxa"/>
          <w:left w:w="0" w:type="dxa"/>
          <w:bottom w:w="0" w:type="dxa"/>
          <w:right w:w="0" w:type="dxa"/>
        </w:tblCellMar>
      </w:tblPr>
      <w:tr>
        <w:trPr>
          <w:trHeight w:val="257"/>
        </w:trPr>
        <w:tc>
          <w:tcPr>
            <w:tcW w:w="2140" w:type="dxa"/>
            <w:vAlign w:val="bottom"/>
          </w:tcPr>
          <w:p>
            <w:pPr>
              <w:spacing w:after="0"/>
              <w:rPr>
                <w:sz w:val="20"/>
                <w:szCs w:val="20"/>
                <w:color w:val="auto"/>
              </w:rPr>
            </w:pPr>
            <w:r>
              <w:rPr>
                <w:rFonts w:ascii="Times New Roman" w:cs="Times New Roman" w:eastAsia="Times New Roman" w:hAnsi="Times New Roman"/>
                <w:sz w:val="22"/>
                <w:szCs w:val="22"/>
                <w:color w:val="auto"/>
              </w:rPr>
              <w:t>Employee Name:</w:t>
            </w:r>
          </w:p>
        </w:tc>
        <w:tc>
          <w:tcPr>
            <w:tcW w:w="3260" w:type="dxa"/>
            <w:vAlign w:val="bottom"/>
            <w:tcBorders>
              <w:bottom w:val="single" w:sz="8" w:color="auto"/>
            </w:tcBorders>
          </w:tcPr>
          <w:p>
            <w:pPr>
              <w:spacing w:after="0"/>
              <w:rPr>
                <w:sz w:val="22"/>
                <w:szCs w:val="22"/>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Account Name/Type:</w:t>
            </w:r>
          </w:p>
        </w:tc>
      </w:tr>
      <w:tr>
        <w:trPr>
          <w:trHeight w:val="507"/>
        </w:trPr>
        <w:tc>
          <w:tcPr>
            <w:tcW w:w="2140" w:type="dxa"/>
            <w:vAlign w:val="bottom"/>
          </w:tcPr>
          <w:p>
            <w:pPr>
              <w:spacing w:after="0"/>
              <w:rPr>
                <w:sz w:val="20"/>
                <w:szCs w:val="20"/>
                <w:color w:val="auto"/>
              </w:rPr>
            </w:pPr>
            <w:r>
              <w:rPr>
                <w:rFonts w:ascii="Times New Roman" w:cs="Times New Roman" w:eastAsia="Times New Roman" w:hAnsi="Times New Roman"/>
                <w:sz w:val="22"/>
                <w:szCs w:val="22"/>
                <w:color w:val="auto"/>
              </w:rPr>
              <w:t>Account Number:</w:t>
            </w:r>
          </w:p>
        </w:tc>
        <w:tc>
          <w:tcPr>
            <w:tcW w:w="3260" w:type="dxa"/>
            <w:vAlign w:val="bottom"/>
            <w:tcBorders>
              <w:bottom w:val="single" w:sz="8" w:color="auto"/>
            </w:tcBorders>
          </w:tcPr>
          <w:p>
            <w:pPr>
              <w:spacing w:after="0"/>
              <w:rPr>
                <w:sz w:val="24"/>
                <w:szCs w:val="24"/>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Date of First Investment(s)</w:t>
            </w:r>
          </w:p>
        </w:tc>
      </w:tr>
      <w:tr>
        <w:trPr>
          <w:trHeight w:val="262"/>
        </w:trPr>
        <w:tc>
          <w:tcPr>
            <w:tcW w:w="214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mm/dd/yyyy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5443855</wp:posOffset>
            </wp:positionH>
            <wp:positionV relativeFrom="paragraph">
              <wp:posOffset>-513080</wp:posOffset>
            </wp:positionV>
            <wp:extent cx="171450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9">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5443855</wp:posOffset>
            </wp:positionH>
            <wp:positionV relativeFrom="paragraph">
              <wp:posOffset>-178435</wp:posOffset>
            </wp:positionV>
            <wp:extent cx="171450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List Security(ies) in AIP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1929130</wp:posOffset>
            </wp:positionH>
            <wp:positionV relativeFrom="paragraph">
              <wp:posOffset>-151130</wp:posOffset>
            </wp:positionV>
            <wp:extent cx="5229225" cy="31686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1">
                      <a:extLst>
                        <a:ext uri="{28A0092B-C50C-407E-A947-70E740481C1C}"/>
                      </a:extLst>
                    </a:blip>
                    <a:srcRect/>
                    <a:stretch>
                      <a:fillRect/>
                    </a:stretch>
                  </pic:blipFill>
                  <pic:spPr bwMode="auto">
                    <a:xfrm>
                      <a:off x="0" y="0"/>
                      <a:ext cx="5229225" cy="316865"/>
                    </a:xfrm>
                    <a:prstGeom prst="rect">
                      <a:avLst/>
                    </a:prstGeom>
                    <a:noFill/>
                  </pic:spPr>
                </pic:pic>
              </a:graphicData>
            </a:graphic>
          </wp:anchor>
        </w:drawing>
      </w:r>
    </w:p>
    <w:p>
      <w:pPr>
        <w:ind w:left="7"/>
        <w:spacing w:after="0"/>
        <w:rPr>
          <w:sz w:val="20"/>
          <w:szCs w:val="20"/>
          <w:color w:val="auto"/>
        </w:rPr>
      </w:pPr>
      <w:r>
        <w:rPr>
          <w:rFonts w:ascii="Times New Roman" w:cs="Times New Roman" w:eastAsia="Times New Roman" w:hAnsi="Times New Roman"/>
          <w:sz w:val="22"/>
          <w:szCs w:val="22"/>
          <w:color w:val="auto"/>
        </w:rPr>
        <w:t>each security indicate</w:t>
      </w:r>
    </w:p>
    <w:p>
      <w:pPr>
        <w:ind w:left="7"/>
        <w:spacing w:after="0"/>
        <w:rPr>
          <w:sz w:val="20"/>
          <w:szCs w:val="20"/>
          <w:color w:val="auto"/>
        </w:rPr>
      </w:pPr>
      <w:r>
        <w:rPr>
          <w:rFonts w:ascii="Times New Roman" w:cs="Times New Roman" w:eastAsia="Times New Roman" w:hAnsi="Times New Roman"/>
          <w:sz w:val="22"/>
          <w:szCs w:val="22"/>
          <w:color w:val="auto"/>
        </w:rPr>
        <w:t>frequency and dollar amount):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Attestations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87" w:right="40" w:hanging="787"/>
        <w:spacing w:after="0" w:line="222" w:lineRule="auto"/>
        <w:tabs>
          <w:tab w:leader="none" w:pos="787" w:val="left"/>
        </w:tabs>
        <w:numPr>
          <w:ilvl w:val="0"/>
          <w:numId w:val="107"/>
        </w:numPr>
        <w:rPr>
          <w:rFonts w:ascii="MS PGothic" w:cs="MS PGothic" w:eastAsia="MS PGothic" w:hAnsi="MS PGothic"/>
          <w:sz w:val="32"/>
          <w:szCs w:val="32"/>
          <w:color w:val="auto"/>
        </w:rPr>
      </w:pPr>
      <w:r>
        <w:rPr>
          <w:rFonts w:ascii="Times New Roman" w:cs="Times New Roman" w:eastAsia="Times New Roman" w:hAnsi="Times New Roman"/>
          <w:sz w:val="22"/>
          <w:szCs w:val="22"/>
          <w:color w:val="auto"/>
        </w:rPr>
        <w:t>I certify that I do not possess material non-public information (“MNPI”) directly related to the Securities of this issuer or indirectly related to another issuer (for example, Securities of an issuer in the same industry) which one may reasonably expect to be material to this investment.</w:t>
      </w:r>
    </w:p>
    <w:p>
      <w:pPr>
        <w:spacing w:after="0" w:line="192" w:lineRule="exact"/>
        <w:rPr>
          <w:rFonts w:ascii="MS PGothic" w:cs="MS PGothic" w:eastAsia="MS PGothic" w:hAnsi="MS PGothic"/>
          <w:sz w:val="32"/>
          <w:szCs w:val="32"/>
          <w:color w:val="auto"/>
        </w:rPr>
      </w:pPr>
    </w:p>
    <w:p>
      <w:pPr>
        <w:ind w:left="787" w:right="20" w:hanging="787"/>
        <w:spacing w:after="0" w:line="222" w:lineRule="auto"/>
        <w:tabs>
          <w:tab w:leader="none" w:pos="787" w:val="left"/>
        </w:tabs>
        <w:numPr>
          <w:ilvl w:val="0"/>
          <w:numId w:val="107"/>
        </w:numPr>
        <w:rPr>
          <w:rFonts w:ascii="MS PGothic" w:cs="MS PGothic" w:eastAsia="MS PGothic" w:hAnsi="MS PGothic"/>
          <w:sz w:val="32"/>
          <w:szCs w:val="32"/>
          <w:color w:val="auto"/>
        </w:rPr>
      </w:pPr>
      <w:r>
        <w:rPr>
          <w:rFonts w:ascii="Times New Roman" w:cs="Times New Roman" w:eastAsia="Times New Roman" w:hAnsi="Times New Roman"/>
          <w:sz w:val="22"/>
          <w:szCs w:val="22"/>
          <w:color w:val="auto"/>
        </w:rPr>
        <w:t>If approved, I certify that I will not make any changes to the existing AIP prior to obtaining preclearance. The preclearance approval is specific to the details outlined above only and any changes to this AIP will require an additional preclearance.</w:t>
      </w:r>
    </w:p>
    <w:p>
      <w:pPr>
        <w:spacing w:after="0" w:line="151" w:lineRule="exact"/>
        <w:rPr>
          <w:rFonts w:ascii="MS PGothic" w:cs="MS PGothic" w:eastAsia="MS PGothic" w:hAnsi="MS PGothic"/>
          <w:sz w:val="32"/>
          <w:szCs w:val="32"/>
          <w:color w:val="auto"/>
        </w:rPr>
      </w:pPr>
    </w:p>
    <w:p>
      <w:pPr>
        <w:ind w:left="787" w:hanging="787"/>
        <w:spacing w:after="0"/>
        <w:tabs>
          <w:tab w:leader="none" w:pos="787" w:val="left"/>
        </w:tabs>
        <w:numPr>
          <w:ilvl w:val="0"/>
          <w:numId w:val="107"/>
        </w:numPr>
        <w:rPr>
          <w:rFonts w:ascii="MS PGothic" w:cs="MS PGothic" w:eastAsia="MS PGothic" w:hAnsi="MS PGothic"/>
          <w:sz w:val="32"/>
          <w:szCs w:val="32"/>
          <w:color w:val="auto"/>
        </w:rPr>
      </w:pPr>
      <w:r>
        <w:rPr>
          <w:rFonts w:ascii="Times New Roman" w:cs="Times New Roman" w:eastAsia="Times New Roman" w:hAnsi="Times New Roman"/>
          <w:sz w:val="22"/>
          <w:szCs w:val="22"/>
          <w:color w:val="auto"/>
        </w:rPr>
        <w:t>I certify that I will notify Compliance upon termination of this or any other disclosed AIP.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2336800</wp:posOffset>
            </wp:positionV>
            <wp:extent cx="71831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440" w:right="318" w:bottom="1440"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2199005</wp:posOffset>
            </wp:positionV>
            <wp:extent cx="71831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p>
    <w:p>
      <w:pPr>
        <w:sectPr>
          <w:pgSz w:w="11920" w:h="16838" w:orient="portrait"/>
          <w:cols w:equalWidth="1" w:num="1" w:space="0"/>
          <w:pgMar w:left="1440" w:top="1440" w:right="1440" w:bottom="875"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Bilal Rashid, Chief Executive Officer of OFS Capital Corporation, certify that:</w:t>
      </w:r>
    </w:p>
    <w:p>
      <w:pPr>
        <w:spacing w:after="0" w:line="198" w:lineRule="exact"/>
        <w:rPr>
          <w:sz w:val="20"/>
          <w:szCs w:val="20"/>
          <w:color w:val="auto"/>
        </w:rPr>
      </w:pPr>
    </w:p>
    <w:p>
      <w:pPr>
        <w:ind w:left="700" w:hanging="190"/>
        <w:spacing w:after="0"/>
        <w:tabs>
          <w:tab w:leader="none" w:pos="7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OFS Capital Corporation (the “Registrant”);</w:t>
      </w:r>
    </w:p>
    <w:p>
      <w:pPr>
        <w:spacing w:after="0" w:line="184" w:lineRule="exact"/>
        <w:rPr>
          <w:rFonts w:ascii="Times New Roman" w:cs="Times New Roman" w:eastAsia="Times New Roman" w:hAnsi="Times New Roman"/>
          <w:sz w:val="18"/>
          <w:szCs w:val="18"/>
          <w:color w:val="auto"/>
        </w:rPr>
      </w:pPr>
    </w:p>
    <w:p>
      <w:pPr>
        <w:ind w:right="100" w:firstLine="510"/>
        <w:spacing w:after="0" w:line="312" w:lineRule="auto"/>
        <w:tabs>
          <w:tab w:leader="none" w:pos="697"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9" w:lineRule="exact"/>
        <w:rPr>
          <w:rFonts w:ascii="Times New Roman" w:cs="Times New Roman" w:eastAsia="Times New Roman" w:hAnsi="Times New Roman"/>
          <w:sz w:val="17"/>
          <w:szCs w:val="17"/>
          <w:color w:val="auto"/>
        </w:rPr>
      </w:pPr>
    </w:p>
    <w:p>
      <w:pPr>
        <w:ind w:right="60" w:firstLine="510"/>
        <w:spacing w:after="0" w:line="282" w:lineRule="auto"/>
        <w:tabs>
          <w:tab w:leader="none" w:pos="69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right="120" w:firstLine="510"/>
        <w:spacing w:after="0" w:line="266" w:lineRule="auto"/>
        <w:tabs>
          <w:tab w:leader="none" w:pos="69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firstLine="1027"/>
        <w:spacing w:after="0" w:line="266" w:lineRule="auto"/>
        <w:tabs>
          <w:tab w:leader="none" w:pos="127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right="60" w:firstLine="1027"/>
        <w:spacing w:after="0" w:line="266" w:lineRule="auto"/>
        <w:tabs>
          <w:tab w:leader="none" w:pos="128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right="240" w:firstLine="1027"/>
        <w:spacing w:after="0" w:line="282" w:lineRule="auto"/>
        <w:tabs>
          <w:tab w:leader="none" w:pos="127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right="140" w:firstLine="1027"/>
        <w:spacing w:after="0" w:line="266" w:lineRule="auto"/>
        <w:tabs>
          <w:tab w:leader="none" w:pos="128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right="180" w:firstLine="510"/>
        <w:spacing w:after="0" w:line="282" w:lineRule="auto"/>
        <w:tabs>
          <w:tab w:leader="none" w:pos="69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right="560" w:firstLine="1027"/>
        <w:spacing w:after="0" w:line="282" w:lineRule="auto"/>
        <w:tabs>
          <w:tab w:leader="none" w:pos="127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right="160" w:firstLine="1027"/>
        <w:spacing w:after="0" w:line="282" w:lineRule="auto"/>
        <w:tabs>
          <w:tab w:leader="none" w:pos="128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29th day of October, 2026.</w:t>
      </w:r>
    </w:p>
    <w:p>
      <w:pPr>
        <w:spacing w:after="0" w:line="306" w:lineRule="exact"/>
        <w:rPr>
          <w:sz w:val="20"/>
          <w:szCs w:val="20"/>
          <w:color w:val="auto"/>
        </w:rPr>
      </w:pPr>
    </w:p>
    <w:p>
      <w:pPr>
        <w:ind w:left="40"/>
        <w:spacing w:after="0"/>
        <w:tabs>
          <w:tab w:leader="none" w:pos="2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Bilal Rashid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34290</wp:posOffset>
            </wp:positionV>
            <wp:extent cx="327469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3" w:lineRule="exact"/>
        <w:rPr>
          <w:sz w:val="20"/>
          <w:szCs w:val="20"/>
          <w:color w:val="auto"/>
        </w:rPr>
      </w:pPr>
    </w:p>
    <w:p>
      <w:pPr>
        <w:jc w:val="center"/>
        <w:ind w:right="4980"/>
        <w:spacing w:after="0"/>
        <w:rPr>
          <w:sz w:val="20"/>
          <w:szCs w:val="20"/>
          <w:color w:val="auto"/>
        </w:rPr>
      </w:pPr>
      <w:r>
        <w:rPr>
          <w:rFonts w:ascii="Times New Roman" w:cs="Times New Roman" w:eastAsia="Times New Roman" w:hAnsi="Times New Roman"/>
          <w:sz w:val="18"/>
          <w:szCs w:val="18"/>
          <w:b w:val="1"/>
          <w:bCs w:val="1"/>
          <w:color w:val="auto"/>
        </w:rPr>
        <w:t>Bilal Rashid</w:t>
      </w:r>
    </w:p>
    <w:p>
      <w:pPr>
        <w:spacing w:after="0" w:line="77" w:lineRule="exact"/>
        <w:rPr>
          <w:sz w:val="20"/>
          <w:szCs w:val="20"/>
          <w:color w:val="auto"/>
        </w:rPr>
      </w:pPr>
    </w:p>
    <w:p>
      <w:pPr>
        <w:jc w:val="center"/>
        <w:ind w:right="4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718820</wp:posOffset>
            </wp:positionV>
            <wp:extent cx="71831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882" w:right="318" w:bottom="1440" w:gutter="0" w:footer="0" w:header="0"/>
        </w:sectPr>
      </w:pPr>
    </w:p>
    <w:bookmarkStart w:id="122" w:name="page123"/>
    <w:bookmarkEnd w:id="122"/>
    <w:p>
      <w:pPr>
        <w:spacing w:after="0" w:line="20" w:lineRule="exact"/>
        <w:rPr>
          <w:sz w:val="20"/>
          <w:szCs w:val="20"/>
          <w:color w:val="auto"/>
        </w:rPr>
      </w:pPr>
    </w:p>
    <w:p>
      <w:pPr>
        <w:sectPr>
          <w:pgSz w:w="11920" w:h="16838" w:orient="portrait"/>
          <w:cols w:equalWidth="1" w:num="1" w:space="0"/>
          <w:pgMar w:left="1440" w:top="1440" w:right="1440" w:bottom="875"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Kyle Spina, Chief Financial Officer of OFS Capital Corporation, certify that:</w:t>
      </w:r>
    </w:p>
    <w:p>
      <w:pPr>
        <w:spacing w:after="0" w:line="198" w:lineRule="exact"/>
        <w:rPr>
          <w:sz w:val="20"/>
          <w:szCs w:val="20"/>
          <w:color w:val="auto"/>
        </w:rPr>
      </w:pPr>
    </w:p>
    <w:p>
      <w:pPr>
        <w:ind w:left="700" w:hanging="190"/>
        <w:spacing w:after="0"/>
        <w:tabs>
          <w:tab w:leader="none" w:pos="7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OFS Capital Corporation (the “Registrant”);</w:t>
      </w:r>
    </w:p>
    <w:p>
      <w:pPr>
        <w:spacing w:after="0" w:line="184" w:lineRule="exact"/>
        <w:rPr>
          <w:rFonts w:ascii="Times New Roman" w:cs="Times New Roman" w:eastAsia="Times New Roman" w:hAnsi="Times New Roman"/>
          <w:sz w:val="18"/>
          <w:szCs w:val="18"/>
          <w:color w:val="auto"/>
        </w:rPr>
      </w:pPr>
    </w:p>
    <w:p>
      <w:pPr>
        <w:ind w:right="100" w:firstLine="510"/>
        <w:spacing w:after="0" w:line="312" w:lineRule="auto"/>
        <w:tabs>
          <w:tab w:leader="none" w:pos="697"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9" w:lineRule="exact"/>
        <w:rPr>
          <w:rFonts w:ascii="Times New Roman" w:cs="Times New Roman" w:eastAsia="Times New Roman" w:hAnsi="Times New Roman"/>
          <w:sz w:val="17"/>
          <w:szCs w:val="17"/>
          <w:color w:val="auto"/>
        </w:rPr>
      </w:pPr>
    </w:p>
    <w:p>
      <w:pPr>
        <w:ind w:right="60" w:firstLine="510"/>
        <w:spacing w:after="0" w:line="282" w:lineRule="auto"/>
        <w:tabs>
          <w:tab w:leader="none" w:pos="69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right="120" w:firstLine="510"/>
        <w:spacing w:after="0" w:line="266" w:lineRule="auto"/>
        <w:tabs>
          <w:tab w:leader="none" w:pos="69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firstLine="1027"/>
        <w:spacing w:after="0" w:line="266" w:lineRule="auto"/>
        <w:tabs>
          <w:tab w:leader="none" w:pos="1279"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right="60" w:firstLine="1027"/>
        <w:spacing w:after="0" w:line="266" w:lineRule="auto"/>
        <w:tabs>
          <w:tab w:leader="none" w:pos="1289"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right="240" w:firstLine="1027"/>
        <w:spacing w:after="0" w:line="282" w:lineRule="auto"/>
        <w:tabs>
          <w:tab w:leader="none" w:pos="1279"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right="140" w:firstLine="1027"/>
        <w:spacing w:after="0" w:line="266" w:lineRule="auto"/>
        <w:tabs>
          <w:tab w:leader="none" w:pos="1289"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right="180" w:firstLine="510"/>
        <w:spacing w:after="0" w:line="282" w:lineRule="auto"/>
        <w:tabs>
          <w:tab w:leader="none" w:pos="69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right="560" w:firstLine="1027"/>
        <w:spacing w:after="0" w:line="282" w:lineRule="auto"/>
        <w:tabs>
          <w:tab w:leader="none" w:pos="1279"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right="160" w:firstLine="1030"/>
        <w:spacing w:after="0" w:line="282" w:lineRule="auto"/>
        <w:tabs>
          <w:tab w:leader="none" w:pos="129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29th day of October, 2026.</w:t>
      </w:r>
    </w:p>
    <w:p>
      <w:pPr>
        <w:spacing w:after="0" w:line="306" w:lineRule="exact"/>
        <w:rPr>
          <w:sz w:val="20"/>
          <w:szCs w:val="20"/>
          <w:color w:val="auto"/>
        </w:rPr>
      </w:pPr>
    </w:p>
    <w:p>
      <w:pPr>
        <w:ind w:left="40"/>
        <w:spacing w:after="0"/>
        <w:tabs>
          <w:tab w:leader="none" w:pos="2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Kyle Spina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34290</wp:posOffset>
            </wp:positionV>
            <wp:extent cx="327469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3" w:lineRule="exact"/>
        <w:rPr>
          <w:sz w:val="20"/>
          <w:szCs w:val="20"/>
          <w:color w:val="auto"/>
        </w:rPr>
      </w:pPr>
    </w:p>
    <w:p>
      <w:pPr>
        <w:jc w:val="center"/>
        <w:ind w:right="4980"/>
        <w:spacing w:after="0"/>
        <w:rPr>
          <w:sz w:val="20"/>
          <w:szCs w:val="20"/>
          <w:color w:val="auto"/>
        </w:rPr>
      </w:pPr>
      <w:r>
        <w:rPr>
          <w:rFonts w:ascii="Times New Roman" w:cs="Times New Roman" w:eastAsia="Times New Roman" w:hAnsi="Times New Roman"/>
          <w:sz w:val="18"/>
          <w:szCs w:val="18"/>
          <w:b w:val="1"/>
          <w:bCs w:val="1"/>
          <w:color w:val="auto"/>
        </w:rPr>
        <w:t>Kyle Spina</w:t>
      </w:r>
    </w:p>
    <w:p>
      <w:pPr>
        <w:spacing w:after="0" w:line="77" w:lineRule="exact"/>
        <w:rPr>
          <w:sz w:val="20"/>
          <w:szCs w:val="20"/>
          <w:color w:val="auto"/>
        </w:rPr>
      </w:pPr>
    </w:p>
    <w:p>
      <w:pPr>
        <w:jc w:val="center"/>
        <w:ind w:right="4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718820</wp:posOffset>
            </wp:positionV>
            <wp:extent cx="71831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882" w:right="318" w:bottom="1440" w:gutter="0" w:footer="0" w:header="0"/>
        </w:sectPr>
      </w:pPr>
    </w:p>
    <w:bookmarkStart w:id="124" w:name="page125"/>
    <w:bookmarkEnd w:id="124"/>
    <w:p>
      <w:pPr>
        <w:spacing w:after="0" w:line="20" w:lineRule="exact"/>
        <w:rPr>
          <w:sz w:val="20"/>
          <w:szCs w:val="20"/>
          <w:color w:val="auto"/>
        </w:rPr>
      </w:pPr>
    </w:p>
    <w:p>
      <w:pPr>
        <w:sectPr>
          <w:pgSz w:w="11920" w:h="16838" w:orient="portrait"/>
          <w:cols w:equalWidth="1" w:num="1" w:space="0"/>
          <w:pgMar w:left="1440" w:top="1440" w:right="1440" w:bottom="875" w:gutter="0" w:footer="0" w:header="0"/>
        </w:sectPr>
      </w:pPr>
    </w:p>
    <w:bookmarkStart w:id="125" w:name="page126"/>
    <w:bookmarkEnd w:id="125"/>
    <w:p>
      <w:pPr>
        <w:ind w:left="1034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8" w:lineRule="exact"/>
        <w:rPr>
          <w:sz w:val="20"/>
          <w:szCs w:val="20"/>
          <w:color w:val="auto"/>
        </w:rPr>
      </w:pPr>
    </w:p>
    <w:p>
      <w:pPr>
        <w:ind w:right="360" w:firstLine="517"/>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September 30, 2026 (the “Report”) of OFS Capital Corporation (the “Registrant”), as filed with the Securities and Exchange Commission on the date hereof, I, Bilal Rashid, the Chief Executive Officer of the Registrant, hereby certify, to the best of my knowledge, pursuant to 18 U.S.C. Section 1350, that:</w:t>
      </w:r>
    </w:p>
    <w:p>
      <w:pPr>
        <w:spacing w:after="0" w:line="135" w:lineRule="exact"/>
        <w:rPr>
          <w:sz w:val="20"/>
          <w:szCs w:val="20"/>
          <w:color w:val="auto"/>
        </w:rPr>
      </w:pPr>
    </w:p>
    <w:p>
      <w:pPr>
        <w:ind w:left="1280" w:hanging="253"/>
        <w:spacing w:after="0"/>
        <w:tabs>
          <w:tab w:leader="none" w:pos="12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98" w:lineRule="exact"/>
        <w:rPr>
          <w:rFonts w:ascii="Times New Roman" w:cs="Times New Roman" w:eastAsia="Times New Roman" w:hAnsi="Times New Roman"/>
          <w:sz w:val="18"/>
          <w:szCs w:val="18"/>
          <w:color w:val="auto"/>
        </w:rPr>
      </w:pPr>
    </w:p>
    <w:p>
      <w:pPr>
        <w:ind w:left="1280" w:hanging="253"/>
        <w:spacing w:after="0"/>
        <w:tabs>
          <w:tab w:leader="none" w:pos="12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Bilal Rashid</w:t>
            </w:r>
          </w:p>
        </w:tc>
        <w:tc>
          <w:tcPr>
            <w:tcW w:w="0" w:type="dxa"/>
            <w:vAlign w:val="bottom"/>
          </w:tcPr>
          <w:p>
            <w:pPr>
              <w:spacing w:after="0"/>
              <w:rPr>
                <w:sz w:val="1"/>
                <w:szCs w:val="1"/>
                <w:color w:val="auto"/>
              </w:rPr>
            </w:pPr>
          </w:p>
        </w:tc>
      </w:tr>
      <w:tr>
        <w:trPr>
          <w:trHeight w:val="27"/>
        </w:trPr>
        <w:tc>
          <w:tcPr>
            <w:tcW w:w="7320" w:type="dxa"/>
            <w:vAlign w:val="bottom"/>
            <w:vMerge w:val="restart"/>
          </w:tcPr>
          <w:p>
            <w:pPr>
              <w:ind w:left="65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Bilal Rashid</w:t>
            </w:r>
          </w:p>
        </w:tc>
        <w:tc>
          <w:tcPr>
            <w:tcW w:w="0" w:type="dxa"/>
            <w:vAlign w:val="bottom"/>
          </w:tcPr>
          <w:p>
            <w:pPr>
              <w:spacing w:after="0"/>
              <w:rPr>
                <w:sz w:val="1"/>
                <w:szCs w:val="1"/>
                <w:color w:val="auto"/>
              </w:rPr>
            </w:pPr>
          </w:p>
        </w:tc>
      </w:tr>
      <w:tr>
        <w:trPr>
          <w:trHeight w:val="297"/>
        </w:trPr>
        <w:tc>
          <w:tcPr>
            <w:tcW w:w="7320" w:type="dxa"/>
            <w:vAlign w:val="bottom"/>
          </w:tcPr>
          <w:p>
            <w:pPr>
              <w:ind w:left="65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October 29, 2026</w:t>
            </w:r>
          </w:p>
        </w:tc>
        <w:tc>
          <w:tcPr>
            <w:tcW w:w="0" w:type="dxa"/>
            <w:vAlign w:val="bottom"/>
          </w:tcPr>
          <w:p>
            <w:pPr>
              <w:spacing w:after="0"/>
              <w:rPr>
                <w:sz w:val="1"/>
                <w:szCs w:val="1"/>
                <w:color w:val="auto"/>
              </w:rPr>
            </w:pPr>
          </w:p>
        </w:tc>
      </w:tr>
      <w:tr>
        <w:trPr>
          <w:trHeight w:val="1114"/>
        </w:trPr>
        <w:tc>
          <w:tcPr>
            <w:tcW w:w="73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60"/>
          </w:cols>
          <w:pgMar w:left="340" w:top="882" w:right="318" w:bottom="1440" w:gutter="0" w:footer="0" w:header="0"/>
        </w:sectPr>
      </w:pPr>
    </w:p>
    <w:bookmarkStart w:id="126" w:name="page127"/>
    <w:bookmarkEnd w:id="126"/>
    <w:p>
      <w:pPr>
        <w:spacing w:after="0" w:line="20" w:lineRule="exact"/>
        <w:rPr>
          <w:sz w:val="20"/>
          <w:szCs w:val="20"/>
          <w:color w:val="auto"/>
        </w:rPr>
      </w:pPr>
    </w:p>
    <w:p>
      <w:pPr>
        <w:sectPr>
          <w:pgSz w:w="11920" w:h="16838" w:orient="portrait"/>
          <w:cols w:equalWidth="1" w:num="1" w:space="0"/>
          <w:pgMar w:left="1440" w:top="1440" w:right="1440" w:bottom="875" w:gutter="0" w:footer="0" w:header="0"/>
        </w:sectPr>
      </w:pPr>
    </w:p>
    <w:bookmarkStart w:id="127" w:name="page128"/>
    <w:bookmarkEnd w:id="127"/>
    <w:p>
      <w:pPr>
        <w:ind w:left="1034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8" w:lineRule="exact"/>
        <w:rPr>
          <w:sz w:val="20"/>
          <w:szCs w:val="20"/>
          <w:color w:val="auto"/>
        </w:rPr>
      </w:pPr>
    </w:p>
    <w:p>
      <w:pPr>
        <w:ind w:right="60" w:firstLine="51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September 30, 2026 (the “Report”) of OFS Capital Corporation (the “Registrant”), as filed with the Securities and Exchange Commission on the date hereof, I, Kyle Spina, the Chief Financial Officer of the Registrant, hereby certify, to the best of my knowledge, pursuant to 18 U.S.C. Section 1350, that:</w:t>
      </w:r>
    </w:p>
    <w:p>
      <w:pPr>
        <w:spacing w:after="0" w:line="135" w:lineRule="exact"/>
        <w:rPr>
          <w:sz w:val="20"/>
          <w:szCs w:val="20"/>
          <w:color w:val="auto"/>
        </w:rPr>
      </w:pPr>
    </w:p>
    <w:p>
      <w:pPr>
        <w:ind w:left="1280" w:hanging="250"/>
        <w:spacing w:after="0"/>
        <w:tabs>
          <w:tab w:leader="none" w:pos="12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98" w:lineRule="exact"/>
        <w:rPr>
          <w:rFonts w:ascii="Times New Roman" w:cs="Times New Roman" w:eastAsia="Times New Roman" w:hAnsi="Times New Roman"/>
          <w:sz w:val="18"/>
          <w:szCs w:val="18"/>
          <w:color w:val="auto"/>
        </w:rPr>
      </w:pPr>
    </w:p>
    <w:p>
      <w:pPr>
        <w:ind w:left="1280" w:hanging="250"/>
        <w:spacing w:after="0"/>
        <w:tabs>
          <w:tab w:leader="none" w:pos="12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Kyle Spina</w:t>
            </w:r>
          </w:p>
        </w:tc>
        <w:tc>
          <w:tcPr>
            <w:tcW w:w="0" w:type="dxa"/>
            <w:vAlign w:val="bottom"/>
          </w:tcPr>
          <w:p>
            <w:pPr>
              <w:spacing w:after="0"/>
              <w:rPr>
                <w:sz w:val="1"/>
                <w:szCs w:val="1"/>
                <w:color w:val="auto"/>
              </w:rPr>
            </w:pPr>
          </w:p>
        </w:tc>
      </w:tr>
      <w:tr>
        <w:trPr>
          <w:trHeight w:val="27"/>
        </w:trPr>
        <w:tc>
          <w:tcPr>
            <w:tcW w:w="7320" w:type="dxa"/>
            <w:vAlign w:val="bottom"/>
            <w:vMerge w:val="restart"/>
          </w:tcPr>
          <w:p>
            <w:pPr>
              <w:ind w:left="64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Kyle Spina</w:t>
            </w:r>
          </w:p>
        </w:tc>
        <w:tc>
          <w:tcPr>
            <w:tcW w:w="0" w:type="dxa"/>
            <w:vAlign w:val="bottom"/>
          </w:tcPr>
          <w:p>
            <w:pPr>
              <w:spacing w:after="0"/>
              <w:rPr>
                <w:sz w:val="1"/>
                <w:szCs w:val="1"/>
                <w:color w:val="auto"/>
              </w:rPr>
            </w:pPr>
          </w:p>
        </w:tc>
      </w:tr>
      <w:tr>
        <w:trPr>
          <w:trHeight w:val="297"/>
        </w:trPr>
        <w:tc>
          <w:tcPr>
            <w:tcW w:w="7320" w:type="dxa"/>
            <w:vAlign w:val="bottom"/>
          </w:tcPr>
          <w:p>
            <w:pPr>
              <w:ind w:left="64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October 29, 2026</w:t>
            </w:r>
          </w:p>
        </w:tc>
        <w:tc>
          <w:tcPr>
            <w:tcW w:w="0" w:type="dxa"/>
            <w:vAlign w:val="bottom"/>
          </w:tcPr>
          <w:p>
            <w:pPr>
              <w:spacing w:after="0"/>
              <w:rPr>
                <w:sz w:val="1"/>
                <w:szCs w:val="1"/>
                <w:color w:val="auto"/>
              </w:rPr>
            </w:pPr>
          </w:p>
        </w:tc>
      </w:tr>
      <w:tr>
        <w:trPr>
          <w:trHeight w:val="1114"/>
        </w:trPr>
        <w:tc>
          <w:tcPr>
            <w:tcW w:w="73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60"/>
          </w:cols>
          <w:pgMar w:left="340" w:top="882" w:right="318" w:bottom="1440" w:gutter="0" w:footer="0" w:header="0"/>
        </w:sectPr>
      </w:pPr>
    </w:p>
    <w:bookmarkStart w:id="128" w:name="page129"/>
    <w:bookmarkEnd w:id="128"/>
    <w:sectPr>
      <w:pgSz w:w="1192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1)"/>
      <w:numFmt w:val="decimal"/>
      <w:start w:val="1"/>
    </w:lvl>
  </w:abstractNum>
  <w:abstractNum w:abstractNumId="5">
    <w:nsid w:val="47398C89"/>
    <w:multiLevelType w:val="hybridMultilevel"/>
    <w:lvl w:ilvl="0">
      <w:lvlJc w:val="left"/>
      <w:lvlText w:val="(%1)"/>
      <w:numFmt w:val="decimal"/>
      <w:start w:val="12"/>
    </w:lvl>
  </w:abstractNum>
  <w:abstractNum w:abstractNumId="6">
    <w:nsid w:val="354FE9F9"/>
    <w:multiLevelType w:val="hybridMultilevel"/>
    <w:lvl w:ilvl="0">
      <w:lvlJc w:val="left"/>
      <w:lvlText w:val="(%1)"/>
      <w:numFmt w:val="decimal"/>
      <w:start w:val="1"/>
    </w:lvl>
  </w:abstractNum>
  <w:abstractNum w:abstractNumId="7">
    <w:nsid w:val="15B5AF5C"/>
    <w:multiLevelType w:val="hybridMultilevel"/>
    <w:lvl w:ilvl="0">
      <w:lvlJc w:val="left"/>
      <w:lvlText w:val="(%1)"/>
      <w:numFmt w:val="decimal"/>
      <w:start w:val="12"/>
    </w:lvl>
  </w:abstractNum>
  <w:abstractNum w:abstractNumId="8">
    <w:nsid w:val="741226BB"/>
    <w:multiLevelType w:val="hybridMultilevel"/>
    <w:lvl w:ilvl="0">
      <w:lvlJc w:val="left"/>
      <w:lvlText w:val="(%1)"/>
      <w:numFmt w:val="decimal"/>
      <w:start w:val="22"/>
    </w:lvl>
  </w:abstractNum>
  <w:abstractNum w:abstractNumId="9">
    <w:nsid w:val="D34B6A8"/>
    <w:multiLevelType w:val="hybridMultilevel"/>
    <w:lvl w:ilvl="0">
      <w:lvlJc w:val="left"/>
      <w:lvlText w:val="(%1)"/>
      <w:numFmt w:val="decimal"/>
      <w:start w:val="1"/>
    </w:lvl>
  </w:abstractNum>
  <w:abstractNum w:abstractNumId="10">
    <w:nsid w:val="10233C99"/>
    <w:multiLevelType w:val="hybridMultilevel"/>
    <w:lvl w:ilvl="0">
      <w:lvlJc w:val="left"/>
      <w:lvlText w:val="(%1)"/>
      <w:numFmt w:val="decimal"/>
      <w:start w:val="1"/>
    </w:lvl>
  </w:abstractNum>
  <w:abstractNum w:abstractNumId="11">
    <w:nsid w:val="3F6AB60F"/>
    <w:multiLevelType w:val="hybridMultilevel"/>
    <w:lvl w:ilvl="0">
      <w:lvlJc w:val="left"/>
      <w:lvlText w:val="(%1)"/>
      <w:numFmt w:val="decimal"/>
      <w:start w:val="1"/>
    </w:lvl>
  </w:abstractNum>
  <w:abstractNum w:abstractNumId="12">
    <w:nsid w:val="61574095"/>
    <w:multiLevelType w:val="hybridMultilevel"/>
    <w:lvl w:ilvl="0">
      <w:lvlJc w:val="left"/>
      <w:lvlText w:val="(%1)"/>
      <w:numFmt w:val="decimal"/>
      <w:start w:val="1"/>
    </w:lvl>
  </w:abstractNum>
  <w:abstractNum w:abstractNumId="13">
    <w:nsid w:val="7E0C57B1"/>
    <w:multiLevelType w:val="hybridMultilevel"/>
    <w:lvl w:ilvl="0">
      <w:lvlJc w:val="left"/>
      <w:lvlText w:val="(%1)"/>
      <w:numFmt w:val="decimal"/>
    </w:lvl>
    <w:lvl w:ilvl="1">
      <w:lvlJc w:val="left"/>
      <w:lvlText w:val="$"/>
      <w:numFmt w:val="bullet"/>
      <w:start w:val="1"/>
    </w:lvl>
  </w:abstractNum>
  <w:abstractNum w:abstractNumId="14">
    <w:nsid w:val="77AE35EB"/>
    <w:multiLevelType w:val="hybridMultilevel"/>
    <w:lvl w:ilvl="0">
      <w:lvlJc w:val="left"/>
      <w:lvlText w:val="(%1)"/>
      <w:numFmt w:val="decimal"/>
    </w:lvl>
    <w:lvl w:ilvl="1">
      <w:lvlJc w:val="left"/>
      <w:lvlText w:val="$"/>
      <w:numFmt w:val="bullet"/>
      <w:start w:val="1"/>
    </w:lvl>
  </w:abstractNum>
  <w:abstractNum w:abstractNumId="15">
    <w:nsid w:val="579BE4F1"/>
    <w:multiLevelType w:val="hybridMultilevel"/>
    <w:lvl w:ilvl="0">
      <w:lvlJc w:val="left"/>
      <w:lvlText w:val="(%1)"/>
      <w:numFmt w:val="decimal"/>
      <w:start w:val="1"/>
    </w:lvl>
  </w:abstractNum>
  <w:abstractNum w:abstractNumId="16">
    <w:nsid w:val="310C50B3"/>
    <w:multiLevelType w:val="hybridMultilevel"/>
    <w:lvl w:ilvl="0">
      <w:lvlJc w:val="left"/>
      <w:lvlText w:val="(%1)"/>
      <w:numFmt w:val="decimal"/>
      <w:start w:val="1"/>
    </w:lvl>
  </w:abstractNum>
  <w:abstractNum w:abstractNumId="17">
    <w:nsid w:val="5FF87E05"/>
    <w:multiLevelType w:val="hybridMultilevel"/>
    <w:lvl w:ilvl="0">
      <w:lvlJc w:val="left"/>
      <w:lvlText w:val="(%1)"/>
      <w:numFmt w:val="decimal"/>
      <w:start w:val="1"/>
    </w:lvl>
  </w:abstractNum>
  <w:abstractNum w:abstractNumId="18">
    <w:nsid w:val="2F305DEF"/>
    <w:multiLevelType w:val="hybridMultilevel"/>
    <w:lvl w:ilvl="0">
      <w:lvlJc w:val="left"/>
      <w:lvlText w:val="(%1)"/>
      <w:numFmt w:val="decimal"/>
      <w:start w:val="1"/>
    </w:lvl>
  </w:abstractNum>
  <w:abstractNum w:abstractNumId="19">
    <w:nsid w:val="25A70BF7"/>
    <w:multiLevelType w:val="hybridMultilevel"/>
    <w:lvl w:ilvl="0">
      <w:lvlJc w:val="left"/>
      <w:lvlText w:val="(%1)"/>
      <w:numFmt w:val="decimal"/>
      <w:start w:val="1"/>
    </w:lvl>
  </w:abstractNum>
  <w:abstractNum w:abstractNumId="20">
    <w:nsid w:val="1DBABF00"/>
    <w:multiLevelType w:val="hybridMultilevel"/>
    <w:lvl w:ilvl="0">
      <w:lvlJc w:val="left"/>
      <w:lvlText w:val="(%1)"/>
      <w:numFmt w:val="decimal"/>
      <w:start w:val="1"/>
    </w:lvl>
  </w:abstractNum>
  <w:abstractNum w:abstractNumId="21">
    <w:nsid w:val="4AD084E9"/>
    <w:multiLevelType w:val="hybridMultilevel"/>
    <w:lvl w:ilvl="0">
      <w:lvlJc w:val="left"/>
      <w:lvlText w:val="(%1)"/>
      <w:numFmt w:val="decimal"/>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1)"/>
      <w:numFmt w:val="decimal"/>
      <w:start w:val="1"/>
    </w:lvl>
  </w:abstractNum>
  <w:abstractNum w:abstractNumId="24">
    <w:nsid w:val="5DB70AE5"/>
    <w:multiLevelType w:val="hybridMultilevel"/>
    <w:lvl w:ilvl="0">
      <w:lvlJc w:val="left"/>
      <w:lvlText w:val="(%1)"/>
      <w:numFmt w:val="decimal"/>
      <w:start w:val="1"/>
    </w:lvl>
  </w:abstractNum>
  <w:abstractNum w:abstractNumId="25">
    <w:nsid w:val="100F8FCA"/>
    <w:multiLevelType w:val="hybridMultilevel"/>
    <w:lvl w:ilvl="0">
      <w:lvlJc w:val="left"/>
      <w:lvlText w:val="(%1)"/>
      <w:numFmt w:val="decimal"/>
      <w:start w:val="1"/>
    </w:lvl>
  </w:abstractNum>
  <w:abstractNum w:abstractNumId="26">
    <w:nsid w:val="6590700B"/>
    <w:multiLevelType w:val="hybridMultilevel"/>
    <w:lvl w:ilvl="0">
      <w:lvlJc w:val="left"/>
      <w:lvlText w:val="(%1)"/>
      <w:numFmt w:val="decimal"/>
      <w:start w:val="1"/>
    </w:lvl>
  </w:abstractNum>
  <w:abstractNum w:abstractNumId="27">
    <w:nsid w:val="15014ACB"/>
    <w:multiLevelType w:val="hybridMultilevel"/>
    <w:lvl w:ilvl="0">
      <w:lvlJc w:val="left"/>
      <w:lvlText w:val="(%1)"/>
      <w:numFmt w:val="decimal"/>
      <w:start w:val="1"/>
    </w:lvl>
  </w:abstractNum>
  <w:abstractNum w:abstractNumId="28">
    <w:nsid w:val="5F5E7FD0"/>
    <w:multiLevelType w:val="hybridMultilevel"/>
    <w:lvl w:ilvl="0">
      <w:lvlJc w:val="left"/>
      <w:lvlText w:val="(%1)"/>
      <w:numFmt w:val="decimal"/>
      <w:start w:val="1"/>
    </w:lvl>
  </w:abstractNum>
  <w:abstractNum w:abstractNumId="29">
    <w:nsid w:val="98A3148"/>
    <w:multiLevelType w:val="hybridMultilevel"/>
    <w:lvl w:ilvl="0">
      <w:lvlJc w:val="left"/>
      <w:lvlText w:val="*"/>
      <w:numFmt w:val="bullet"/>
      <w:start w:val="1"/>
    </w:lvl>
    <w:lvl w:ilvl="1">
      <w:lvlJc w:val="left"/>
      <w:lvlText w:val="%2"/>
      <w:numFmt w:val="decimal"/>
      <w:start w:val="104"/>
    </w:lvl>
  </w:abstractNum>
  <w:abstractNum w:abstractNumId="30">
    <w:nsid w:val="799D0247"/>
    <w:multiLevelType w:val="hybridMultilevel"/>
    <w:lvl w:ilvl="0">
      <w:lvlJc w:val="left"/>
      <w:lvlText w:val="%1."/>
      <w:numFmt w:val="upperLetter"/>
      <w:start w:val="9"/>
    </w:lvl>
  </w:abstractNum>
  <w:abstractNum w:abstractNumId="31">
    <w:nsid w:val="6B94764"/>
    <w:multiLevelType w:val="hybridMultilevel"/>
    <w:lvl w:ilvl="0">
      <w:lvlJc w:val="left"/>
      <w:lvlText w:val="%1."/>
      <w:numFmt w:val="upperLetter"/>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1"/>
      <w:numFmt w:val="bullet"/>
      <w:start w:val="1"/>
    </w:lvl>
  </w:abstractNum>
  <w:abstractNum w:abstractNumId="34">
    <w:nsid w:val="1EBA5D23"/>
    <w:multiLevelType w:val="hybridMultilevel"/>
    <w:lvl w:ilvl="0">
      <w:lvlJc w:val="left"/>
      <w:lvlText w:val="2"/>
      <w:numFmt w:val="bullet"/>
      <w:start w:val="1"/>
    </w:lvl>
  </w:abstractNum>
  <w:abstractNum w:abstractNumId="35">
    <w:nsid w:val="661E3F1E"/>
    <w:multiLevelType w:val="hybridMultilevel"/>
    <w:lvl w:ilvl="0">
      <w:lvlJc w:val="left"/>
      <w:lvlText w:val="3"/>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1."/>
      <w:numFmt w:val="upperLetter"/>
      <w:start w:val="2"/>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1."/>
      <w:numFmt w:val="decimal"/>
      <w:start w:val="1"/>
    </w:lvl>
  </w:abstractNum>
  <w:abstractNum w:abstractNumId="41">
    <w:nsid w:val="BF72B14"/>
    <w:multiLevelType w:val="hybridMultilevel"/>
    <w:lvl w:ilvl="0">
      <w:lvlJc w:val="left"/>
      <w:lvlText w:val="%1."/>
      <w:numFmt w:val="decimal"/>
      <w:start w:val="5"/>
    </w:lvl>
    <w:lvl w:ilvl="1">
      <w:lvlJc w:val="left"/>
      <w:lvlText w:val="•"/>
      <w:numFmt w:val="bullet"/>
      <w:start w:val="1"/>
    </w:lvl>
  </w:abstractNum>
  <w:abstractNum w:abstractNumId="42">
    <w:nsid w:val="11447B73"/>
    <w:multiLevelType w:val="hybridMultilevel"/>
    <w:lvl w:ilvl="0">
      <w:lvlJc w:val="left"/>
      <w:lvlText w:val="4"/>
      <w:numFmt w:val="bullet"/>
      <w:start w:val="1"/>
    </w:lvl>
  </w:abstractNum>
  <w:abstractNum w:abstractNumId="43">
    <w:nsid w:val="42963E5A"/>
    <w:multiLevelType w:val="hybridMultilevel"/>
    <w:lvl w:ilvl="0">
      <w:lvlJc w:val="left"/>
      <w:lvlText w:val="%1."/>
      <w:numFmt w:val="decimal"/>
      <w:start w:val="11"/>
    </w:lvl>
  </w:abstractNum>
  <w:abstractNum w:abstractNumId="44">
    <w:nsid w:val="A0382C5"/>
    <w:multiLevelType w:val="hybridMultilevel"/>
    <w:lvl w:ilvl="0">
      <w:lvlJc w:val="left"/>
      <w:lvlText w:val="%1"/>
      <w:numFmt w:val="upperLetter"/>
      <w:start w:val="1"/>
    </w:lvl>
    <w:lvl w:ilvl="1">
      <w:lvlJc w:val="left"/>
      <w:lvlText w:val="%2."/>
      <w:numFmt w:val="decimal"/>
      <w:start w:val="15"/>
    </w:lvl>
  </w:abstractNum>
  <w:abstractNum w:abstractNumId="45">
    <w:nsid w:val="8F2B15E"/>
    <w:multiLevelType w:val="hybridMultilevel"/>
    <w:lvl w:ilvl="0">
      <w:lvlJc w:val="left"/>
      <w:lvlText w:val="%1."/>
      <w:numFmt w:val="upperLetter"/>
      <w:start w:val="3"/>
    </w:lvl>
    <w:lvl w:ilvl="1">
      <w:lvlJc w:val="left"/>
      <w:lvlText w:val="%2"/>
      <w:numFmt w:val="decimal"/>
      <w:start w:val="1"/>
    </w:lvl>
  </w:abstractNum>
  <w:abstractNum w:abstractNumId="46">
    <w:nsid w:val="1A32234B"/>
    <w:multiLevelType w:val="hybridMultilevel"/>
    <w:lvl w:ilvl="0">
      <w:lvlJc w:val="left"/>
      <w:lvlText w:val="%1."/>
      <w:numFmt w:val="upperLetter"/>
      <w:start w:val="4"/>
    </w:lvl>
  </w:abstractNum>
  <w:abstractNum w:abstractNumId="47">
    <w:nsid w:val="3B0FD379"/>
    <w:multiLevelType w:val="hybridMultilevel"/>
    <w:lvl w:ilvl="0">
      <w:lvlJc w:val="left"/>
      <w:lvlText w:val="%1."/>
      <w:numFmt w:val="upperLetter"/>
      <w:start w:val="5"/>
    </w:lvl>
  </w:abstractNum>
  <w:abstractNum w:abstractNumId="48">
    <w:nsid w:val="68EB2F63"/>
    <w:multiLevelType w:val="hybridMultilevel"/>
    <w:lvl w:ilvl="0">
      <w:lvlJc w:val="left"/>
      <w:lvlText w:val="%1."/>
      <w:numFmt w:val="upperLetter"/>
      <w:start w:val="6"/>
    </w:lvl>
  </w:abstractNum>
  <w:abstractNum w:abstractNumId="49">
    <w:nsid w:val="4962813B"/>
    <w:multiLevelType w:val="hybridMultilevel"/>
    <w:lvl w:ilvl="0">
      <w:lvlJc w:val="left"/>
      <w:lvlText w:val="%1."/>
      <w:numFmt w:val="upperLetter"/>
      <w:start w:val="7"/>
    </w:lvl>
  </w:abstractNum>
  <w:abstractNum w:abstractNumId="50">
    <w:nsid w:val="60B6DF70"/>
    <w:multiLevelType w:val="hybridMultilevel"/>
    <w:lvl w:ilvl="0">
      <w:lvlJc w:val="left"/>
      <w:lvlText w:val="%1."/>
      <w:numFmt w:val="upperLetter"/>
      <w:start w:val="8"/>
    </w:lvl>
  </w:abstractNum>
  <w:abstractNum w:abstractNumId="51">
    <w:nsid w:val="6A5EE64"/>
    <w:multiLevelType w:val="hybridMultilevel"/>
    <w:lvl w:ilvl="0">
      <w:lvlJc w:val="left"/>
      <w:lvlText w:val="%1."/>
      <w:numFmt w:val="upperLetter"/>
      <w:start w:val="9"/>
    </w:lvl>
  </w:abstractNum>
  <w:abstractNum w:abstractNumId="52">
    <w:nsid w:val="14330624"/>
    <w:multiLevelType w:val="hybridMultilevel"/>
    <w:lvl w:ilvl="0">
      <w:lvlJc w:val="left"/>
      <w:lvlText w:val="%1."/>
      <w:numFmt w:val="upperLetter"/>
      <w:start w:val="10"/>
    </w:lvl>
  </w:abstractNum>
  <w:abstractNum w:abstractNumId="53">
    <w:nsid w:val="7FFFCA11"/>
    <w:multiLevelType w:val="hybridMultilevel"/>
    <w:lvl w:ilvl="0">
      <w:lvlJc w:val="left"/>
      <w:lvlText w:val="%1."/>
      <w:numFmt w:val="upperLetter"/>
      <w:start w:val="11"/>
    </w:lvl>
  </w:abstractNum>
  <w:abstractNum w:abstractNumId="54">
    <w:nsid w:val="1A27709E"/>
    <w:multiLevelType w:val="hybridMultilevel"/>
    <w:lvl w:ilvl="0">
      <w:lvlJc w:val="left"/>
      <w:lvlText w:val="%1"/>
      <w:numFmt w:val="upperLetter"/>
      <w:start w:val="1"/>
    </w:lvl>
    <w:lvl w:ilvl="1">
      <w:lvlJc w:val="left"/>
      <w:lvlText w:val="%2."/>
      <w:numFmt w:val="upperLetter"/>
      <w:start w:val="35"/>
    </w:lvl>
  </w:abstractNum>
  <w:abstractNum w:abstractNumId="55">
    <w:nsid w:val="71EA1109"/>
    <w:multiLevelType w:val="hybridMultilevel"/>
    <w:lvl w:ilvl="0">
      <w:lvlJc w:val="left"/>
      <w:lvlText w:val="%1."/>
      <w:numFmt w:val="upperLetter"/>
      <w:start w:val="1"/>
    </w:lvl>
    <w:lvl w:ilvl="1">
      <w:lvlJc w:val="left"/>
      <w:lvlText w:val="%2"/>
      <w:numFmt w:val="upperLetter"/>
      <w:start w:val="1"/>
    </w:lvl>
  </w:abstractNum>
  <w:abstractNum w:abstractNumId="56">
    <w:nsid w:val="100F59DC"/>
    <w:multiLevelType w:val="hybridMultilevel"/>
    <w:lvl w:ilvl="0">
      <w:lvlJc w:val="left"/>
      <w:lvlText w:val="5"/>
      <w:numFmt w:val="bullet"/>
      <w:start w:val="1"/>
    </w:lvl>
  </w:abstractNum>
  <w:abstractNum w:abstractNumId="57">
    <w:nsid w:val="7FB7E0AA"/>
    <w:multiLevelType w:val="hybridMultilevel"/>
    <w:lvl w:ilvl="0">
      <w:lvlJc w:val="left"/>
      <w:lvlText w:val="%1."/>
      <w:numFmt w:val="upperLetter"/>
      <w:start w:val="2"/>
    </w:lvl>
  </w:abstractNum>
  <w:abstractNum w:abstractNumId="58">
    <w:nsid w:val="6EB5BD4"/>
    <w:multiLevelType w:val="hybridMultilevel"/>
    <w:lvl w:ilvl="0">
      <w:lvlJc w:val="left"/>
      <w:lvlText w:val="6"/>
      <w:numFmt w:val="bullet"/>
      <w:start w:val="1"/>
    </w:lvl>
  </w:abstractNum>
  <w:abstractNum w:abstractNumId="59">
    <w:nsid w:val="6F6DD9AC"/>
    <w:multiLevelType w:val="hybridMultilevel"/>
    <w:lvl w:ilvl="0">
      <w:lvlJc w:val="left"/>
      <w:lvlText w:val="o"/>
      <w:numFmt w:val="bullet"/>
      <w:start w:val="1"/>
    </w:lvl>
  </w:abstractNum>
  <w:abstractNum w:abstractNumId="60">
    <w:nsid w:val="94211F2"/>
    <w:multiLevelType w:val="hybridMultilevel"/>
    <w:lvl w:ilvl="0">
      <w:lvlJc w:val="left"/>
      <w:lvlText w:val="o"/>
      <w:numFmt w:val="bullet"/>
      <w:start w:val="1"/>
    </w:lvl>
  </w:abstractNum>
  <w:abstractNum w:abstractNumId="61">
    <w:nsid w:val="885E1B"/>
    <w:multiLevelType w:val="hybridMultilevel"/>
    <w:lvl w:ilvl="0">
      <w:lvlJc w:val="left"/>
      <w:lvlText w:val="•"/>
      <w:numFmt w:val="bullet"/>
      <w:start w:val="1"/>
    </w:lvl>
  </w:abstractNum>
  <w:abstractNum w:abstractNumId="62">
    <w:nsid w:val="76272110"/>
    <w:multiLevelType w:val="hybridMultilevel"/>
    <w:lvl w:ilvl="0">
      <w:lvlJc w:val="left"/>
      <w:lvlText w:val="•"/>
      <w:numFmt w:val="bullet"/>
      <w:start w:val="1"/>
    </w:lvl>
  </w:abstractNum>
  <w:abstractNum w:abstractNumId="63">
    <w:nsid w:val="4C04A8AF"/>
    <w:multiLevelType w:val="hybridMultilevel"/>
    <w:lvl w:ilvl="0">
      <w:lvlJc w:val="left"/>
      <w:lvlText w:val="%1."/>
      <w:numFmt w:val="upperLetter"/>
      <w:start w:val="3"/>
    </w:lvl>
  </w:abstractNum>
  <w:abstractNum w:abstractNumId="64">
    <w:nsid w:val="1716703B"/>
    <w:multiLevelType w:val="hybridMultilevel"/>
    <w:lvl w:ilvl="0">
      <w:lvlJc w:val="left"/>
      <w:lvlText w:val="%1."/>
      <w:numFmt w:val="decimal"/>
      <w:start w:val="1"/>
    </w:lvl>
  </w:abstractNum>
  <w:abstractNum w:abstractNumId="65">
    <w:nsid w:val="14E17E33"/>
    <w:multiLevelType w:val="hybridMultilevel"/>
    <w:lvl w:ilvl="0">
      <w:lvlJc w:val="left"/>
      <w:lvlText w:val="%1"/>
      <w:numFmt w:val="decimal"/>
      <w:start w:val="1"/>
    </w:lvl>
    <w:lvl w:ilvl="1">
      <w:lvlJc w:val="left"/>
      <w:lvlText w:val="(%2)"/>
      <w:numFmt w:val="lowerRoman"/>
      <w:start w:val="1"/>
    </w:lvl>
  </w:abstractNum>
  <w:abstractNum w:abstractNumId="66">
    <w:nsid w:val="3222E7CD"/>
    <w:multiLevelType w:val="hybridMultilevel"/>
    <w:lvl w:ilvl="0">
      <w:lvlJc w:val="left"/>
      <w:lvlText w:val="%1."/>
      <w:numFmt w:val="decimal"/>
      <w:start w:val="2"/>
    </w:lvl>
    <w:lvl w:ilvl="1">
      <w:lvlJc w:val="left"/>
      <w:lvlText w:val="%2"/>
      <w:numFmt w:val="lowerRoman"/>
      <w:start w:val="1"/>
    </w:lvl>
  </w:abstractNum>
  <w:abstractNum w:abstractNumId="67">
    <w:nsid w:val="74DE0EE3"/>
    <w:multiLevelType w:val="hybridMultilevel"/>
    <w:lvl w:ilvl="0">
      <w:lvlJc w:val="left"/>
      <w:lvlText w:val="%1."/>
      <w:numFmt w:val="decimal"/>
      <w:start w:val="3"/>
    </w:lvl>
  </w:abstractNum>
  <w:abstractNum w:abstractNumId="68">
    <w:nsid w:val="68EBC550"/>
    <w:multiLevelType w:val="hybridMultilevel"/>
    <w:lvl w:ilvl="0">
      <w:lvlJc w:val="left"/>
      <w:lvlText w:val="%1."/>
      <w:numFmt w:val="decimal"/>
      <w:start w:val="4"/>
    </w:lvl>
  </w:abstractNum>
  <w:abstractNum w:abstractNumId="69">
    <w:nsid w:val="2DF6D648"/>
    <w:multiLevelType w:val="hybridMultilevel"/>
    <w:lvl w:ilvl="0">
      <w:lvlJc w:val="left"/>
      <w:lvlText w:val="%1."/>
      <w:numFmt w:val="decimal"/>
      <w:start w:val="5"/>
    </w:lvl>
  </w:abstractNum>
  <w:abstractNum w:abstractNumId="70">
    <w:nsid w:val="46B7D447"/>
    <w:multiLevelType w:val="hybridMultilevel"/>
    <w:lvl w:ilvl="0">
      <w:lvlJc w:val="left"/>
      <w:lvlText w:val="7"/>
      <w:numFmt w:val="bullet"/>
      <w:start w:val="1"/>
    </w:lvl>
  </w:abstractNum>
  <w:abstractNum w:abstractNumId="71">
    <w:nsid w:val="4A2AC315"/>
    <w:multiLevelType w:val="hybridMultilevel"/>
    <w:lvl w:ilvl="0">
      <w:lvlJc w:val="left"/>
      <w:lvlText w:val="%1."/>
      <w:numFmt w:val="decimal"/>
      <w:start w:val="6"/>
    </w:lvl>
  </w:abstractNum>
  <w:abstractNum w:abstractNumId="72">
    <w:nsid w:val="39EE015C"/>
    <w:multiLevelType w:val="hybridMultilevel"/>
    <w:lvl w:ilvl="0">
      <w:lvlJc w:val="left"/>
      <w:lvlText w:val="%1."/>
      <w:numFmt w:val="decimal"/>
      <w:start w:val="7"/>
    </w:lvl>
  </w:abstractNum>
  <w:abstractNum w:abstractNumId="73">
    <w:nsid w:val="57FC4FBB"/>
    <w:multiLevelType w:val="hybridMultilevel"/>
    <w:lvl w:ilvl="0">
      <w:lvlJc w:val="left"/>
      <w:lvlText w:val="%1."/>
      <w:numFmt w:val="decimal"/>
      <w:start w:val="8"/>
    </w:lvl>
  </w:abstractNum>
  <w:abstractNum w:abstractNumId="74">
    <w:nsid w:val="CC1016F"/>
    <w:multiLevelType w:val="hybridMultilevel"/>
    <w:lvl w:ilvl="0">
      <w:lvlJc w:val="left"/>
      <w:lvlText w:val="%1."/>
      <w:numFmt w:val="decimal"/>
      <w:start w:val="9"/>
    </w:lvl>
  </w:abstractNum>
  <w:abstractNum w:abstractNumId="75">
    <w:nsid w:val="43F18422"/>
    <w:multiLevelType w:val="hybridMultilevel"/>
    <w:lvl w:ilvl="0">
      <w:lvlJc w:val="left"/>
      <w:lvlText w:val="%1."/>
      <w:numFmt w:val="upperLetter"/>
      <w:start w:val="4"/>
    </w:lvl>
  </w:abstractNum>
  <w:abstractNum w:abstractNumId="76">
    <w:nsid w:val="60EF0119"/>
    <w:multiLevelType w:val="hybridMultilevel"/>
    <w:lvl w:ilvl="0">
      <w:lvlJc w:val="left"/>
      <w:lvlText w:val="%1."/>
      <w:numFmt w:val="upperLetter"/>
      <w:start w:val="61"/>
    </w:lvl>
  </w:abstractNum>
  <w:abstractNum w:abstractNumId="77">
    <w:nsid w:val="26F324BA"/>
    <w:multiLevelType w:val="hybridMultilevel"/>
    <w:lvl w:ilvl="0">
      <w:lvlJc w:val="left"/>
      <w:lvlText w:val="%1."/>
      <w:numFmt w:val="upperLetter"/>
      <w:start w:val="1"/>
    </w:lvl>
  </w:abstractNum>
  <w:abstractNum w:abstractNumId="78">
    <w:nsid w:val="7F01579B"/>
    <w:multiLevelType w:val="hybridMultilevel"/>
    <w:lvl w:ilvl="0">
      <w:lvlJc w:val="left"/>
      <w:lvlText w:val="8"/>
      <w:numFmt w:val="bullet"/>
      <w:start w:val="1"/>
    </w:lvl>
  </w:abstractNum>
  <w:abstractNum w:abstractNumId="79">
    <w:nsid w:val="49DA307D"/>
    <w:multiLevelType w:val="hybridMultilevel"/>
    <w:lvl w:ilvl="0">
      <w:lvlJc w:val="left"/>
      <w:lvlText w:val="%1."/>
      <w:numFmt w:val="upperLetter"/>
      <w:start w:val="2"/>
    </w:lvl>
  </w:abstractNum>
  <w:abstractNum w:abstractNumId="80">
    <w:nsid w:val="7055A5F5"/>
    <w:multiLevelType w:val="hybridMultilevel"/>
    <w:lvl w:ilvl="0">
      <w:lvlJc w:val="left"/>
      <w:lvlText w:val="9"/>
      <w:numFmt w:val="bullet"/>
      <w:start w:val="1"/>
    </w:lvl>
  </w:abstractNum>
  <w:abstractNum w:abstractNumId="81">
    <w:nsid w:val="5FB8370B"/>
    <w:multiLevelType w:val="hybridMultilevel"/>
    <w:lvl w:ilvl="0">
      <w:lvlJc w:val="left"/>
      <w:lvlText w:val="%1"/>
      <w:numFmt w:val="decimal"/>
      <w:start w:val="10"/>
    </w:lvl>
  </w:abstractNum>
  <w:abstractNum w:abstractNumId="82">
    <w:nsid w:val="50801EE1"/>
    <w:multiLevelType w:val="hybridMultilevel"/>
    <w:lvl w:ilvl="0">
      <w:lvlJc w:val="left"/>
      <w:lvlText w:val="•"/>
      <w:numFmt w:val="bullet"/>
      <w:start w:val="1"/>
    </w:lvl>
  </w:abstractNum>
  <w:abstractNum w:abstractNumId="83">
    <w:nsid w:val="488AC1A"/>
    <w:multiLevelType w:val="hybridMultilevel"/>
    <w:lvl w:ilvl="0">
      <w:lvlJc w:val="left"/>
      <w:lvlText w:val="•"/>
      <w:numFmt w:val="bullet"/>
      <w:start w:val="1"/>
    </w:lvl>
  </w:abstractNum>
  <w:abstractNum w:abstractNumId="84">
    <w:nsid w:val="5FB8011C"/>
    <w:multiLevelType w:val="hybridMultilevel"/>
    <w:lvl w:ilvl="0">
      <w:lvlJc w:val="left"/>
      <w:lvlText w:val="%1."/>
      <w:numFmt w:val="upperLetter"/>
      <w:start w:val="2"/>
    </w:lvl>
    <w:lvl w:ilvl="1">
      <w:lvlJc w:val="left"/>
      <w:lvlText w:val="•"/>
      <w:numFmt w:val="bullet"/>
      <w:start w:val="1"/>
    </w:lvl>
  </w:abstractNum>
  <w:abstractNum w:abstractNumId="85">
    <w:nsid w:val="6AA78F7F"/>
    <w:multiLevelType w:val="hybridMultilevel"/>
    <w:lvl w:ilvl="0">
      <w:lvlJc w:val="left"/>
      <w:lvlText w:val="%1."/>
      <w:numFmt w:val="decimal"/>
      <w:start w:val="1"/>
    </w:lvl>
    <w:lvl w:ilvl="1">
      <w:lvlJc w:val="left"/>
      <w:lvlText w:val="•"/>
      <w:numFmt w:val="bullet"/>
      <w:start w:val="1"/>
    </w:lvl>
  </w:abstractNum>
  <w:abstractNum w:abstractNumId="86">
    <w:nsid w:val="7672BD23"/>
    <w:multiLevelType w:val="hybridMultilevel"/>
    <w:lvl w:ilvl="0">
      <w:lvlJc w:val="left"/>
      <w:lvlText w:val="•"/>
      <w:numFmt w:val="bullet"/>
      <w:start w:val="1"/>
    </w:lvl>
  </w:abstractNum>
  <w:abstractNum w:abstractNumId="87">
    <w:nsid w:val="6FC75AF8"/>
    <w:multiLevelType w:val="hybridMultilevel"/>
    <w:lvl w:ilvl="0">
      <w:lvlJc w:val="left"/>
      <w:lvlText w:val="%1."/>
      <w:numFmt w:val="decimal"/>
      <w:start w:val="2"/>
    </w:lvl>
    <w:lvl w:ilvl="1">
      <w:lvlJc w:val="left"/>
      <w:lvlText w:val="•"/>
      <w:numFmt w:val="bullet"/>
      <w:start w:val="1"/>
    </w:lvl>
  </w:abstractNum>
  <w:abstractNum w:abstractNumId="88">
    <w:nsid w:val="6A5F7029"/>
    <w:multiLevelType w:val="hybridMultilevel"/>
    <w:lvl w:ilvl="0">
      <w:lvlJc w:val="left"/>
      <w:lvlText w:val="•"/>
      <w:numFmt w:val="bullet"/>
      <w:start w:val="1"/>
    </w:lvl>
  </w:abstractNum>
  <w:abstractNum w:abstractNumId="89">
    <w:nsid w:val="7D5E18F8"/>
    <w:multiLevelType w:val="hybridMultilevel"/>
    <w:lvl w:ilvl="0">
      <w:lvlJc w:val="left"/>
      <w:lvlText w:val="%1."/>
      <w:numFmt w:val="upperLetter"/>
      <w:start w:val="1"/>
    </w:lvl>
  </w:abstractNum>
  <w:abstractNum w:abstractNumId="90">
    <w:nsid w:val="5F3534A4"/>
    <w:multiLevelType w:val="hybridMultilevel"/>
    <w:lvl w:ilvl="0">
      <w:lvlJc w:val="left"/>
      <w:lvlText w:val="%1."/>
      <w:numFmt w:val="upperLetter"/>
      <w:start w:val="2"/>
    </w:lvl>
  </w:abstractNum>
  <w:abstractNum w:abstractNumId="91">
    <w:nsid w:val="73A1821B"/>
    <w:multiLevelType w:val="hybridMultilevel"/>
    <w:lvl w:ilvl="0">
      <w:lvlJc w:val="left"/>
      <w:lvlText w:val="%1."/>
      <w:numFmt w:val="upperLetter"/>
      <w:start w:val="3"/>
    </w:lvl>
  </w:abstractNum>
  <w:abstractNum w:abstractNumId="92">
    <w:nsid w:val="7DE67713"/>
    <w:multiLevelType w:val="hybridMultilevel"/>
    <w:lvl w:ilvl="0">
      <w:lvlJc w:val="left"/>
      <w:lvlText w:val="%1"/>
      <w:numFmt w:val="decimal"/>
      <w:start w:val="12"/>
    </w:lvl>
  </w:abstractNum>
  <w:abstractNum w:abstractNumId="93">
    <w:nsid w:val="555C55B5"/>
    <w:multiLevelType w:val="hybridMultilevel"/>
    <w:lvl w:ilvl="0">
      <w:lvlJc w:val="left"/>
      <w:lvlText w:val="%1"/>
      <w:numFmt w:val="upperLetter"/>
      <w:start w:val="1"/>
    </w:lvl>
    <w:lvl w:ilvl="1">
      <w:lvlJc w:val="left"/>
      <w:lvlText w:val="%2."/>
      <w:numFmt w:val="upperLetter"/>
      <w:start w:val="22"/>
    </w:lvl>
  </w:abstractNum>
  <w:abstractNum w:abstractNumId="94">
    <w:nsid w:val="3FA62ACA"/>
    <w:multiLevelType w:val="hybridMultilevel"/>
    <w:lvl w:ilvl="0">
      <w:lvlJc w:val="left"/>
      <w:lvlText w:val="%1."/>
      <w:numFmt w:val="upperLetter"/>
      <w:start w:val="1"/>
    </w:lvl>
    <w:lvl w:ilvl="1">
      <w:lvlJc w:val="left"/>
      <w:lvlText w:val="%2"/>
      <w:numFmt w:val="upperLetter"/>
      <w:start w:val="1"/>
    </w:lvl>
  </w:abstractNum>
  <w:abstractNum w:abstractNumId="95">
    <w:nsid w:val="14FCE74E"/>
    <w:multiLevelType w:val="hybridMultilevel"/>
    <w:lvl w:ilvl="0">
      <w:lvlJc w:val="left"/>
      <w:lvlText w:val="%1."/>
      <w:numFmt w:val="upperLetter"/>
      <w:start w:val="2"/>
    </w:lvl>
  </w:abstractNum>
  <w:abstractNum w:abstractNumId="96">
    <w:nsid w:val="6A3DD3E8"/>
    <w:multiLevelType w:val="hybridMultilevel"/>
    <w:lvl w:ilvl="0">
      <w:lvlJc w:val="left"/>
      <w:lvlText w:val="%1."/>
      <w:numFmt w:val="decimal"/>
      <w:start w:val="1"/>
    </w:lvl>
  </w:abstractNum>
  <w:abstractNum w:abstractNumId="97">
    <w:nsid w:val="71C91298"/>
    <w:multiLevelType w:val="hybridMultilevel"/>
    <w:lvl w:ilvl="0">
      <w:lvlJc w:val="left"/>
      <w:lvlText w:val="%1."/>
      <w:numFmt w:val="decimal"/>
      <w:start w:val="2"/>
    </w:lvl>
  </w:abstractNum>
  <w:abstractNum w:abstractNumId="98">
    <w:nsid w:val="9DAF632"/>
    <w:multiLevelType w:val="hybridMultilevel"/>
    <w:lvl w:ilvl="0">
      <w:lvlJc w:val="left"/>
      <w:lvlText w:val="%1."/>
      <w:numFmt w:val="upperLetter"/>
      <w:start w:val="3"/>
    </w:lvl>
  </w:abstractNum>
  <w:abstractNum w:abstractNumId="99">
    <w:nsid w:val="53299938"/>
    <w:multiLevelType w:val="hybridMultilevel"/>
    <w:lvl w:ilvl="0">
      <w:lvlJc w:val="left"/>
      <w:lvlText w:val="%1."/>
      <w:numFmt w:val="upperLetter"/>
      <w:start w:val="1"/>
    </w:lvl>
  </w:abstractNum>
  <w:abstractNum w:abstractNumId="100">
    <w:nsid w:val="1FBFE8E0"/>
    <w:multiLevelType w:val="hybridMultilevel"/>
    <w:lvl w:ilvl="0">
      <w:lvlJc w:val="left"/>
      <w:lvlText w:val="%1."/>
      <w:numFmt w:val="upperLetter"/>
      <w:start w:val="2"/>
    </w:lvl>
  </w:abstractNum>
  <w:abstractNum w:abstractNumId="101">
    <w:nsid w:val="5092CA79"/>
    <w:multiLevelType w:val="hybridMultilevel"/>
    <w:lvl w:ilvl="0">
      <w:lvlJc w:val="left"/>
      <w:lvlText w:val="%1."/>
      <w:numFmt w:val="upperLetter"/>
      <w:start w:val="3"/>
    </w:lvl>
  </w:abstractNum>
  <w:abstractNum w:abstractNumId="102">
    <w:nsid w:val="1D545C4D"/>
    <w:multiLevelType w:val="hybridMultilevel"/>
    <w:lvl w:ilvl="0">
      <w:lvlJc w:val="left"/>
      <w:lvlText w:val="%1."/>
      <w:numFmt w:val="upperLetter"/>
      <w:start w:val="4"/>
    </w:lvl>
  </w:abstractNum>
  <w:abstractNum w:abstractNumId="103">
    <w:nsid w:val="59ADEA3D"/>
    <w:multiLevelType w:val="hybridMultilevel"/>
    <w:lvl w:ilvl="0">
      <w:lvlJc w:val="left"/>
      <w:lvlText w:val="•"/>
      <w:numFmt w:val="bullet"/>
      <w:start w:val="1"/>
    </w:lvl>
  </w:abstractNum>
  <w:abstractNum w:abstractNumId="104">
    <w:nsid w:val="288F1A34"/>
    <w:multiLevelType w:val="hybridMultilevel"/>
    <w:lvl w:ilvl="0">
      <w:lvlJc w:val="left"/>
      <w:lvlText w:val="%1."/>
      <w:numFmt w:val="upperLetter"/>
      <w:start w:val="5"/>
    </w:lvl>
  </w:abstractNum>
  <w:abstractNum w:abstractNumId="105">
    <w:nsid w:val="2A155DBC"/>
    <w:multiLevelType w:val="hybridMultilevel"/>
    <w:lvl w:ilvl="0">
      <w:lvlJc w:val="left"/>
      <w:lvlText w:val="%1."/>
      <w:numFmt w:val="decimal"/>
    </w:lvl>
    <w:lvl w:ilvl="1">
      <w:lvlJc w:val="left"/>
      <w:lvlText w:val="•"/>
      <w:numFmt w:val="bullet"/>
      <w:start w:val="1"/>
    </w:lvl>
    <w:lvl w:ilvl="2">
      <w:lvlJc w:val="left"/>
      <w:lvlText w:val="•"/>
      <w:numFmt w:val="bullet"/>
      <w:start w:val="1"/>
    </w:lvl>
    <w:lvl w:ilvl="3">
      <w:lvlJc w:val="left"/>
      <w:lvlText w:val="%4."/>
      <w:numFmt w:val="lowerLetter"/>
      <w:start w:val="1"/>
    </w:lvl>
  </w:abstractNum>
  <w:abstractNum w:abstractNumId="106">
    <w:nsid w:val="1D9F6E5F"/>
    <w:multiLevelType w:val="hybridMultilevel"/>
    <w:lvl w:ilvl="0">
      <w:lvlJc w:val="left"/>
      <w:lvlText w:val="☐"/>
      <w:numFmt w:val="bullet"/>
      <w:start w:val="1"/>
    </w:lvl>
  </w:abstractNum>
  <w:abstractNum w:abstractNumId="107">
    <w:nsid w:val="97E1B4E"/>
    <w:multiLevelType w:val="hybridMultilevel"/>
    <w:lvl w:ilvl="0">
      <w:lvlJc w:val="left"/>
      <w:lvlText w:val="%1."/>
      <w:numFmt w:val="decimal"/>
      <w:start w:val="1"/>
    </w:lvl>
    <w:lvl w:ilvl="1">
      <w:lvlJc w:val="left"/>
      <w:lvlText w:val="(%2)"/>
      <w:numFmt w:val="lowerLetter"/>
      <w:start w:val="1"/>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42" Type="http://schemas.openxmlformats.org/officeDocument/2006/relationships/image" Target="media/image432.png"/><Relationship Id="rId443" Type="http://schemas.openxmlformats.org/officeDocument/2006/relationships/image" Target="media/image433.png"/><Relationship Id="rId444" Type="http://schemas.openxmlformats.org/officeDocument/2006/relationships/image" Target="media/image434.png"/><Relationship Id="rId445" Type="http://schemas.openxmlformats.org/officeDocument/2006/relationships/image" Target="media/image435.png"/><Relationship Id="rId446" Type="http://schemas.openxmlformats.org/officeDocument/2006/relationships/image" Target="media/image436.png"/><Relationship Id="rId447" Type="http://schemas.openxmlformats.org/officeDocument/2006/relationships/image" Target="media/image437.png"/><Relationship Id="rId448" Type="http://schemas.openxmlformats.org/officeDocument/2006/relationships/image" Target="media/image438.png"/><Relationship Id="rId449" Type="http://schemas.openxmlformats.org/officeDocument/2006/relationships/image" Target="media/image439.png"/><Relationship Id="rId450" Type="http://schemas.openxmlformats.org/officeDocument/2006/relationships/image" Target="media/image440.png"/><Relationship Id="rId451" Type="http://schemas.openxmlformats.org/officeDocument/2006/relationships/image" Target="media/image441.png"/><Relationship Id="rId452" Type="http://schemas.openxmlformats.org/officeDocument/2006/relationships/image" Target="media/image442.png"/><Relationship Id="rId453" Type="http://schemas.openxmlformats.org/officeDocument/2006/relationships/image" Target="media/image443.png"/><Relationship Id="rId454" Type="http://schemas.openxmlformats.org/officeDocument/2006/relationships/image" Target="media/image444.png"/><Relationship Id="rId455" Type="http://schemas.openxmlformats.org/officeDocument/2006/relationships/image" Target="media/image445.png"/><Relationship Id="rId456" Type="http://schemas.openxmlformats.org/officeDocument/2006/relationships/image" Target="media/image446.png"/><Relationship Id="rId457" Type="http://schemas.openxmlformats.org/officeDocument/2006/relationships/image" Target="media/image447.png"/><Relationship Id="rId458" Type="http://schemas.openxmlformats.org/officeDocument/2006/relationships/image" Target="media/image448.png"/><Relationship Id="rId459" Type="http://schemas.openxmlformats.org/officeDocument/2006/relationships/image" Target="media/image449.png"/><Relationship Id="rId460" Type="http://schemas.openxmlformats.org/officeDocument/2006/relationships/image" Target="media/image450.png"/><Relationship Id="rId461" Type="http://schemas.openxmlformats.org/officeDocument/2006/relationships/image" Target="media/image451.png"/><Relationship Id="rId462" Type="http://schemas.openxmlformats.org/officeDocument/2006/relationships/image" Target="media/image452.png"/><Relationship Id="rId463" Type="http://schemas.openxmlformats.org/officeDocument/2006/relationships/image" Target="media/image453.png"/><Relationship Id="rId464" Type="http://schemas.openxmlformats.org/officeDocument/2006/relationships/image" Target="media/image454.png"/><Relationship Id="rId465" Type="http://schemas.openxmlformats.org/officeDocument/2006/relationships/image" Target="media/image455.png"/><Relationship Id="rId466" Type="http://schemas.openxmlformats.org/officeDocument/2006/relationships/image" Target="media/image456.png"/><Relationship Id="rId467" Type="http://schemas.openxmlformats.org/officeDocument/2006/relationships/image" Target="media/image457.png"/><Relationship Id="rId468" Type="http://schemas.openxmlformats.org/officeDocument/2006/relationships/image" Target="media/image458.png"/><Relationship Id="rId469" Type="http://schemas.openxmlformats.org/officeDocument/2006/relationships/image" Target="media/image459.png"/><Relationship Id="rId470" Type="http://schemas.openxmlformats.org/officeDocument/2006/relationships/image" Target="media/image460.png"/><Relationship Id="rId471" Type="http://schemas.openxmlformats.org/officeDocument/2006/relationships/image" Target="media/image461.png"/><Relationship Id="rId472" Type="http://schemas.openxmlformats.org/officeDocument/2006/relationships/image" Target="media/image462.png"/><Relationship Id="rId473" Type="http://schemas.openxmlformats.org/officeDocument/2006/relationships/image" Target="media/image463.png"/><Relationship Id="rId474" Type="http://schemas.openxmlformats.org/officeDocument/2006/relationships/image" Target="media/image464.png"/><Relationship Id="rId475" Type="http://schemas.openxmlformats.org/officeDocument/2006/relationships/image" Target="media/image465.png"/><Relationship Id="rId476" Type="http://schemas.openxmlformats.org/officeDocument/2006/relationships/image" Target="media/image466.png"/><Relationship Id="rId477" Type="http://schemas.openxmlformats.org/officeDocument/2006/relationships/image" Target="media/image467.png"/><Relationship Id="rId478" Type="http://schemas.openxmlformats.org/officeDocument/2006/relationships/image" Target="media/image468.png"/><Relationship Id="rId479" Type="http://schemas.openxmlformats.org/officeDocument/2006/relationships/image" Target="media/image469.png"/><Relationship Id="rId480" Type="http://schemas.openxmlformats.org/officeDocument/2006/relationships/image" Target="media/image470.png"/><Relationship Id="rId481" Type="http://schemas.openxmlformats.org/officeDocument/2006/relationships/image" Target="media/image471.png"/><Relationship Id="rId482" Type="http://schemas.openxmlformats.org/officeDocument/2006/relationships/image" Target="media/image472.png"/><Relationship Id="rId483" Type="http://schemas.openxmlformats.org/officeDocument/2006/relationships/image" Target="media/image473.png"/><Relationship Id="rId484" Type="http://schemas.openxmlformats.org/officeDocument/2006/relationships/image" Target="media/image474.png"/><Relationship Id="rId485" Type="http://schemas.openxmlformats.org/officeDocument/2006/relationships/image" Target="media/image475.png"/><Relationship Id="rId486" Type="http://schemas.openxmlformats.org/officeDocument/2006/relationships/image" Target="media/image476.png"/><Relationship Id="rId487" Type="http://schemas.openxmlformats.org/officeDocument/2006/relationships/image" Target="media/image477.png"/><Relationship Id="rId488" Type="http://schemas.openxmlformats.org/officeDocument/2006/relationships/image" Target="media/image478.png"/><Relationship Id="rId489" Type="http://schemas.openxmlformats.org/officeDocument/2006/relationships/image" Target="media/image479.png"/><Relationship Id="rId490" Type="http://schemas.openxmlformats.org/officeDocument/2006/relationships/image" Target="media/image480.png"/><Relationship Id="rId491" Type="http://schemas.openxmlformats.org/officeDocument/2006/relationships/image" Target="media/image481.png"/><Relationship Id="rId492" Type="http://schemas.openxmlformats.org/officeDocument/2006/relationships/image" Target="media/image482.png"/><Relationship Id="rId493" Type="http://schemas.openxmlformats.org/officeDocument/2006/relationships/image" Target="media/image483.png"/><Relationship Id="rId494" Type="http://schemas.openxmlformats.org/officeDocument/2006/relationships/image" Target="media/image484.png"/><Relationship Id="rId495" Type="http://schemas.openxmlformats.org/officeDocument/2006/relationships/image" Target="media/image485.png"/><Relationship Id="rId496" Type="http://schemas.openxmlformats.org/officeDocument/2006/relationships/image" Target="media/image486.png"/><Relationship Id="rId497" Type="http://schemas.openxmlformats.org/officeDocument/2006/relationships/image" Target="media/image487.png"/><Relationship Id="rId498" Type="http://schemas.openxmlformats.org/officeDocument/2006/relationships/image" Target="media/image488.png"/><Relationship Id="rId499" Type="http://schemas.openxmlformats.org/officeDocument/2006/relationships/image" Target="media/image489.png"/><Relationship Id="rId500" Type="http://schemas.openxmlformats.org/officeDocument/2006/relationships/image" Target="media/image490.png"/><Relationship Id="rId501" Type="http://schemas.openxmlformats.org/officeDocument/2006/relationships/image" Target="media/image491.png"/><Relationship Id="rId502" Type="http://schemas.openxmlformats.org/officeDocument/2006/relationships/image" Target="media/image492.png"/><Relationship Id="rId503" Type="http://schemas.openxmlformats.org/officeDocument/2006/relationships/image" Target="media/image493.png"/><Relationship Id="rId504" Type="http://schemas.openxmlformats.org/officeDocument/2006/relationships/image" Target="media/image494.png"/><Relationship Id="rId505" Type="http://schemas.openxmlformats.org/officeDocument/2006/relationships/image" Target="media/image495.png"/><Relationship Id="rId506" Type="http://schemas.openxmlformats.org/officeDocument/2006/relationships/image" Target="media/image496.png"/><Relationship Id="rId507" Type="http://schemas.openxmlformats.org/officeDocument/2006/relationships/image" Target="media/image497.png"/><Relationship Id="rId508" Type="http://schemas.openxmlformats.org/officeDocument/2006/relationships/image" Target="media/image498.png"/><Relationship Id="rId509" Type="http://schemas.openxmlformats.org/officeDocument/2006/relationships/image" Target="media/image499.png"/><Relationship Id="rId510" Type="http://schemas.openxmlformats.org/officeDocument/2006/relationships/image" Target="media/image500.png"/><Relationship Id="rId511" Type="http://schemas.openxmlformats.org/officeDocument/2006/relationships/image" Target="media/image501.png"/><Relationship Id="rId512" Type="http://schemas.openxmlformats.org/officeDocument/2006/relationships/image" Target="media/image502.png"/><Relationship Id="rId513" Type="http://schemas.openxmlformats.org/officeDocument/2006/relationships/image" Target="media/image503.png"/><Relationship Id="rId514" Type="http://schemas.openxmlformats.org/officeDocument/2006/relationships/image" Target="media/image504.png"/><Relationship Id="rId515" Type="http://schemas.openxmlformats.org/officeDocument/2006/relationships/image" Target="media/image505.png"/><Relationship Id="rId516" Type="http://schemas.openxmlformats.org/officeDocument/2006/relationships/image" Target="media/image506.png"/><Relationship Id="rId517" Type="http://schemas.openxmlformats.org/officeDocument/2006/relationships/image" Target="media/image507.png"/><Relationship Id="rId518" Type="http://schemas.openxmlformats.org/officeDocument/2006/relationships/image" Target="media/image508.png"/><Relationship Id="rId519" Type="http://schemas.openxmlformats.org/officeDocument/2006/relationships/image" Target="media/image509.png"/><Relationship Id="rId520" Type="http://schemas.openxmlformats.org/officeDocument/2006/relationships/image" Target="media/image510.png"/><Relationship Id="rId521" Type="http://schemas.openxmlformats.org/officeDocument/2006/relationships/image" Target="media/image511.png"/><Relationship Id="rId522" Type="http://schemas.openxmlformats.org/officeDocument/2006/relationships/image" Target="media/image512.png"/><Relationship Id="rId523" Type="http://schemas.openxmlformats.org/officeDocument/2006/relationships/image" Target="media/image513.png"/><Relationship Id="rId524" Type="http://schemas.openxmlformats.org/officeDocument/2006/relationships/image" Target="media/image514.png"/><Relationship Id="rId525" Type="http://schemas.openxmlformats.org/officeDocument/2006/relationships/image" Target="media/image515.png"/><Relationship Id="rId526" Type="http://schemas.openxmlformats.org/officeDocument/2006/relationships/image" Target="media/image516.png"/><Relationship Id="rId527" Type="http://schemas.openxmlformats.org/officeDocument/2006/relationships/image" Target="media/image517.png"/><Relationship Id="rId528" Type="http://schemas.openxmlformats.org/officeDocument/2006/relationships/image" Target="media/image518.png"/><Relationship Id="rId529" Type="http://schemas.openxmlformats.org/officeDocument/2006/relationships/image" Target="media/image519.png"/><Relationship Id="rId530" Type="http://schemas.openxmlformats.org/officeDocument/2006/relationships/image" Target="media/image520.png"/><Relationship Id="rId531" Type="http://schemas.openxmlformats.org/officeDocument/2006/relationships/image" Target="media/image521.png"/><Relationship Id="rId532" Type="http://schemas.openxmlformats.org/officeDocument/2006/relationships/image" Target="media/image522.png"/><Relationship Id="rId533" Type="http://schemas.openxmlformats.org/officeDocument/2006/relationships/image" Target="media/image523.png"/><Relationship Id="rId534" Type="http://schemas.openxmlformats.org/officeDocument/2006/relationships/image" Target="media/image524.jpeg"/><Relationship Id="rId535" Type="http://schemas.openxmlformats.org/officeDocument/2006/relationships/image" Target="media/image525.png"/><Relationship Id="rId536" Type="http://schemas.openxmlformats.org/officeDocument/2006/relationships/image" Target="media/image526.png"/><Relationship Id="rId537" Type="http://schemas.openxmlformats.org/officeDocument/2006/relationships/image" Target="media/image527.png"/><Relationship Id="rId538" Type="http://schemas.openxmlformats.org/officeDocument/2006/relationships/image" Target="media/image528.png"/><Relationship Id="rId539" Type="http://schemas.openxmlformats.org/officeDocument/2006/relationships/image" Target="media/image529.png"/><Relationship Id="rId540" Type="http://schemas.openxmlformats.org/officeDocument/2006/relationships/image" Target="media/image530.png"/><Relationship Id="rId541" Type="http://schemas.openxmlformats.org/officeDocument/2006/relationships/image" Target="media/image531.png"/><Relationship Id="rId542" Type="http://schemas.openxmlformats.org/officeDocument/2006/relationships/image" Target="media/image532.png"/><Relationship Id="rId543" Type="http://schemas.openxmlformats.org/officeDocument/2006/relationships/image" Target="media/image533.png"/><Relationship Id="rId544" Type="http://schemas.openxmlformats.org/officeDocument/2006/relationships/image" Target="media/image534.png"/><Relationship Id="rId545" Type="http://schemas.openxmlformats.org/officeDocument/2006/relationships/image" Target="media/image535.png"/><Relationship Id="rId546" Type="http://schemas.openxmlformats.org/officeDocument/2006/relationships/image" Target="media/image536.png"/><Relationship Id="rId547" Type="http://schemas.openxmlformats.org/officeDocument/2006/relationships/image" Target="media/image537.png"/><Relationship Id="rId548" Type="http://schemas.openxmlformats.org/officeDocument/2006/relationships/image" Target="media/image538.png"/><Relationship Id="rId549" Type="http://schemas.openxmlformats.org/officeDocument/2006/relationships/image" Target="media/image539.png"/><Relationship Id="rId550" Type="http://schemas.openxmlformats.org/officeDocument/2006/relationships/image" Target="media/image540.png"/><Relationship Id="rId551" Type="http://schemas.openxmlformats.org/officeDocument/2006/relationships/image" Target="media/image541.png"/><Relationship Id="rId439" Type="http://schemas.openxmlformats.org/officeDocument/2006/relationships/hyperlink" Target="https://www.sec.gov/Archives/edgar/data/1487918/000119312511070291/dex99a2.htm" TargetMode="External"/><Relationship Id="rId440" Type="http://schemas.openxmlformats.org/officeDocument/2006/relationships/hyperlink" Target="https://www.sec.gov/Archives/edgar/data/1487918/000119312513126858/d504495dex33.htm" TargetMode="External"/><Relationship Id="rId441" Type="http://schemas.openxmlformats.org/officeDocument/2006/relationships/hyperlink" Target="https://www.sec.gov/Archives/edgar/data/1487918/000119312511070291/dex99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2026-10-30T05:27:05Z</dcterms:created>
  <dcterms:modified xsi:type="dcterms:W3CDTF">2026-10-30T05:27:05Z</dcterms:modified>
</cp:coreProperties>
</file>