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233680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OFS Capital Corporation</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814-00813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46-1339639</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222 W. Adams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Suite 1850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60606</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847 734-2000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239395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6"/>
                <w:szCs w:val="16"/>
                <w:color w:val="auto"/>
              </w:rPr>
            </w:pPr>
          </w:p>
        </w:tc>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OFS</w:t>
            </w:r>
          </w:p>
        </w:tc>
        <w:tc>
          <w:tcPr>
            <w:tcW w:w="12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4.95% Notes due 2028</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OFSSH</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7.50% Notes due 2028</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OFSSO</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10, 2026, OFS Capital Corporation, a Delaware corporation (the “Company”), held its 2026 Annual Meeting of Stockholders (the “Annual Meeting”). There were present at the Annual Meeting in person or by proxy stockholders holding an aggregate of 8,728,411 shares of the Company’s common stock, out of a total number of 13,398,078 shares of the Company’s common stock issued and outstanding and entitled to vote at the Annual Meeting. The following matters were submitted at the Annual Meeting to the Company’s stockholders for consideration:</w:t>
      </w:r>
    </w:p>
    <w:p>
      <w:pPr>
        <w:spacing w:after="0" w:line="193"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election of two (2) Class II directors, each of whom will serve for a term of three years, or until their successor is elected and qualified; and</w:t>
      </w:r>
    </w:p>
    <w:p>
      <w:pPr>
        <w:spacing w:after="0" w:line="53" w:lineRule="exact"/>
        <w:rPr>
          <w:rFonts w:ascii="Times New Roman" w:cs="Times New Roman" w:eastAsia="Times New Roman" w:hAnsi="Times New Roman"/>
          <w:sz w:val="20"/>
          <w:szCs w:val="20"/>
          <w:color w:val="auto"/>
        </w:rPr>
      </w:pPr>
    </w:p>
    <w:p>
      <w:pPr>
        <w:ind w:left="760" w:hanging="378"/>
        <w:spacing w:after="0" w:line="255"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ratification of the selection by the Audit Committee of the Company’s Board of Directors of KPMG LLP as the Company’s independent registered public accounting firm for the fiscal year ending December 31, 2026.</w:t>
      </w:r>
    </w:p>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Romita Shetty and Bilal Rashid were elected to serve as Class II Directors until the 2029 annual meeting of stockholders, or until their successors are elected and qualified, and the appointment of KPMG LLP as the independent registered public accounting firm for the Company for the fiscal year ending December 31, 2026 was ratified.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detailed final voting results of the shares voted with regard to each of these matters are as follows:</w:t>
      </w:r>
    </w:p>
    <w:p>
      <w:pPr>
        <w:spacing w:after="0" w:line="223" w:lineRule="exact"/>
        <w:rPr>
          <w:sz w:val="20"/>
          <w:szCs w:val="20"/>
          <w:color w:val="auto"/>
        </w:rPr>
      </w:pPr>
    </w:p>
    <w:p>
      <w:pPr>
        <w:ind w:left="740" w:hanging="358"/>
        <w:spacing w:after="0"/>
        <w:tabs>
          <w:tab w:leader="none" w:pos="7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Election of the Class II directors:</w:t>
      </w:r>
    </w:p>
    <w:p>
      <w:pPr>
        <w:spacing w:after="0" w:line="16" w:lineRule="exact"/>
        <w:rPr>
          <w:sz w:val="20"/>
          <w:szCs w:val="20"/>
          <w:color w:val="auto"/>
        </w:rPr>
      </w:pPr>
    </w:p>
    <w:tbl>
      <w:tblPr>
        <w:tblLayout w:type="fixed"/>
        <w:tblInd w:w="160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38"/>
        </w:trPr>
        <w:tc>
          <w:tcPr>
            <w:tcW w:w="286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0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Romita Shetty</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5,007,172</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508,940</w:t>
            </w: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3,212,299</w:t>
            </w:r>
          </w:p>
        </w:tc>
      </w:tr>
      <w:tr>
        <w:trPr>
          <w:trHeight w:val="228"/>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Bilal Rashid</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5,009,789</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506,323</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3,212,299</w:t>
            </w:r>
          </w:p>
        </w:tc>
      </w:tr>
    </w:tbl>
    <w:p>
      <w:pPr>
        <w:spacing w:after="0" w:line="19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Continuing directors whose terms did not expire at the Annual Meeting were as follows: Elaine E. Healy is currently serving as a Class I director and her term expires in 2028, and Ashwin Ranganathan and Jeffrey A. Cerny are currently serving as Class III directors, whose terms expire in 2027.</w:t>
      </w:r>
    </w:p>
    <w:p>
      <w:pPr>
        <w:spacing w:after="0" w:line="173" w:lineRule="exact"/>
        <w:rPr>
          <w:sz w:val="20"/>
          <w:szCs w:val="20"/>
          <w:color w:val="auto"/>
        </w:rPr>
      </w:pPr>
    </w:p>
    <w:p>
      <w:pPr>
        <w:ind w:left="760" w:hanging="378"/>
        <w:spacing w:after="0" w:line="257" w:lineRule="auto"/>
        <w:tabs>
          <w:tab w:leader="none" w:pos="760" w:val="left"/>
        </w:tabs>
        <w:numPr>
          <w:ilvl w:val="0"/>
          <w:numId w:val="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18"/>
          <w:szCs w:val="18"/>
          <w:i w:val="1"/>
          <w:iCs w:val="1"/>
          <w:color w:val="auto"/>
        </w:rPr>
        <w:t>Ratification of the selection by the Audit Committee of the Company’s Board of Directors of KPMG LLP to serve as the Company’s independent registered public accounting firm for the fiscal year ending December 31, 2026:</w:t>
      </w:r>
    </w:p>
    <w:p>
      <w:pPr>
        <w:spacing w:after="0" w:line="178" w:lineRule="exact"/>
        <w:rPr>
          <w:sz w:val="20"/>
          <w:szCs w:val="20"/>
          <w:color w:val="auto"/>
        </w:rPr>
      </w:pPr>
    </w:p>
    <w:tbl>
      <w:tblPr>
        <w:tblLayout w:type="fixed"/>
        <w:tblInd w:w="1500" w:type="dxa"/>
        <w:tblCellMar>
          <w:top w:w="0" w:type="dxa"/>
          <w:left w:w="0" w:type="dxa"/>
          <w:bottom w:w="0" w:type="dxa"/>
          <w:right w:w="0" w:type="dxa"/>
        </w:tblCellMar>
      </w:tblPr>
      <w:tr>
        <w:trPr>
          <w:trHeight w:val="238"/>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1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0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28"/>
        </w:trPr>
        <w:tc>
          <w:tcPr>
            <w:tcW w:w="348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8,463,314</w:t>
            </w:r>
          </w:p>
        </w:tc>
        <w:tc>
          <w:tcPr>
            <w:tcW w:w="31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127,468</w:t>
            </w:r>
          </w:p>
        </w:tc>
        <w:tc>
          <w:tcPr>
            <w:tcW w:w="30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137,629</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tabs>
          <w:tab w:leader="none" w:pos="220" w:val="left"/>
          <w:tab w:leader="none" w:pos="240" w:val="left"/>
          <w:tab w:leader="none" w:pos="220" w:val="left"/>
          <w:tab w:leader="none" w:pos="220" w:val="left"/>
        </w:tabs>
        <w:rPr>
          <w:sz w:val="20"/>
          <w:szCs w:val="20"/>
          <w:color w:val="auto"/>
        </w:rPr>
      </w:pPr>
      <w:r>
        <w:rPr>
          <w:rFonts w:ascii="Times New Roman" w:cs="Times New Roman" w:eastAsia="Times New Roman" w:hAnsi="Times New Roman"/>
          <w:sz w:val="20"/>
          <w:szCs w:val="20"/>
          <w:color w:val="auto"/>
        </w:rPr>
        <w:t>*</w:t>
        <w:tab/>
        <w:t>*</w:t>
        <w:tab/>
        <w:t>*</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OFS CAPITAL CORPORATION</w:t>
      </w:r>
    </w:p>
    <w:p>
      <w:pPr>
        <w:spacing w:after="0" w:line="378" w:lineRule="exact"/>
        <w:rPr>
          <w:sz w:val="20"/>
          <w:szCs w:val="20"/>
          <w:color w:val="auto"/>
        </w:rPr>
      </w:pPr>
    </w:p>
    <w:p>
      <w:pPr>
        <w:spacing w:after="0"/>
        <w:tabs>
          <w:tab w:leader="none" w:pos="660" w:val="left"/>
          <w:tab w:leader="none" w:pos="5620" w:val="left"/>
          <w:tab w:leader="none" w:pos="6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10, 2026</w:t>
      </w:r>
      <w:r>
        <w:rPr>
          <w:sz w:val="20"/>
          <w:szCs w:val="20"/>
          <w:color w:val="auto"/>
        </w:rPr>
        <w:tab/>
      </w:r>
      <w:r>
        <w:rPr>
          <w:rFonts w:ascii="Times New Roman" w:cs="Times New Roman" w:eastAsia="Times New Roman" w:hAnsi="Times New Roman"/>
          <w:sz w:val="18"/>
          <w:szCs w:val="18"/>
          <w:color w:val="auto"/>
        </w:rPr>
        <w:t>By:</w:t>
        <w:tab/>
        <w:t>/s/ Bilal Rashid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900" w:right="59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2026-06-10T10:35:25Z</dcterms:created>
  <dcterms:modified xsi:type="dcterms:W3CDTF">2026-06-10T10:35:25Z</dcterms:modified>
</cp:coreProperties>
</file>